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8F" w:rsidRPr="007E12F9" w:rsidRDefault="00394E8F" w:rsidP="00E63253">
      <w:pPr>
        <w:pStyle w:val="stBilgi"/>
        <w:tabs>
          <w:tab w:val="left" w:pos="309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tr-TR"/>
        </w:rPr>
      </w:pPr>
      <w:r w:rsidRPr="007E12F9">
        <w:rPr>
          <w:rFonts w:ascii="Times New Roman" w:hAnsi="Times New Roman" w:cs="Times New Roman"/>
          <w:b/>
          <w:i/>
          <w:noProof/>
          <w:sz w:val="28"/>
          <w:szCs w:val="28"/>
          <w:lang w:eastAsia="tr-TR"/>
        </w:rPr>
        <w:t>Journal of Gazi University Health Sciences Institute</w:t>
      </w: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Style w:val="Kpr"/>
          <w:rFonts w:ascii="Times New Roman" w:hAnsi="Times New Roman" w:cs="Times New Roman"/>
          <w:color w:val="4472C4" w:themeColor="accent5"/>
          <w:sz w:val="18"/>
          <w:szCs w:val="18"/>
          <w:lang w:eastAsia="tr-TR"/>
        </w:rPr>
      </w:pPr>
      <w:r w:rsidRPr="007E12F9">
        <w:rPr>
          <w:rFonts w:ascii="Times New Roman" w:hAnsi="Times New Roman" w:cs="Times New Roman"/>
          <w:b/>
          <w:noProof/>
          <w:color w:val="808080" w:themeColor="background1" w:themeShade="80"/>
          <w:sz w:val="18"/>
          <w:szCs w:val="18"/>
          <w:lang w:eastAsia="tr-TR"/>
        </w:rPr>
        <w:t>journal homepage</w:t>
      </w:r>
      <w:r w:rsidRPr="007E12F9">
        <w:rPr>
          <w:rFonts w:ascii="Times New Roman" w:hAnsi="Times New Roman" w:cs="Times New Roman"/>
          <w:b/>
          <w:i/>
          <w:noProof/>
          <w:color w:val="808080" w:themeColor="background1" w:themeShade="80"/>
          <w:sz w:val="18"/>
          <w:szCs w:val="18"/>
          <w:lang w:eastAsia="tr-TR"/>
        </w:rPr>
        <w:t xml:space="preserve">: </w:t>
      </w:r>
      <w:hyperlink r:id="rId7" w:history="1">
        <w:r w:rsidRPr="007E12F9">
          <w:rPr>
            <w:rStyle w:val="Kpr"/>
            <w:rFonts w:ascii="Times New Roman" w:hAnsi="Times New Roman" w:cs="Times New Roman"/>
            <w:color w:val="4472C4" w:themeColor="accent5"/>
            <w:sz w:val="18"/>
            <w:szCs w:val="18"/>
            <w:lang w:eastAsia="tr-TR"/>
          </w:rPr>
          <w:t>https://dergipark.org.tr/tr/pub/guhes</w:t>
        </w:r>
      </w:hyperlink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Style w:val="Kpr"/>
          <w:rFonts w:ascii="Times New Roman" w:hAnsi="Times New Roman" w:cs="Times New Roman"/>
          <w:color w:val="4472C4" w:themeColor="accent5"/>
          <w:sz w:val="18"/>
          <w:szCs w:val="18"/>
          <w:lang w:eastAsia="tr-TR"/>
        </w:rPr>
      </w:pPr>
    </w:p>
    <w:p w:rsidR="00394E8F" w:rsidRPr="00394E8F" w:rsidRDefault="00394E8F" w:rsidP="00394E8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 w:eastAsia="tr-TR"/>
        </w:rPr>
      </w:pPr>
      <w:r w:rsidRPr="00394E8F">
        <w:rPr>
          <w:rFonts w:ascii="Times New Roman" w:eastAsia="MS Mincho" w:hAnsi="Times New Roman" w:cs="Times New Roman"/>
          <w:b/>
          <w:bCs/>
          <w:sz w:val="24"/>
          <w:szCs w:val="24"/>
          <w:lang w:val="en-US" w:eastAsia="tr-TR"/>
        </w:rPr>
        <w:t>Title of The Manuscript (Times New Roman 12 pt, Max 20 Words</w:t>
      </w:r>
      <w:r w:rsidR="00365C28">
        <w:rPr>
          <w:rFonts w:ascii="Times New Roman" w:eastAsia="MS Mincho" w:hAnsi="Times New Roman" w:cs="Times New Roman"/>
          <w:b/>
          <w:bCs/>
          <w:sz w:val="24"/>
          <w:szCs w:val="24"/>
          <w:lang w:val="en-US" w:eastAsia="tr-TR"/>
        </w:rPr>
        <w:t>,</w:t>
      </w:r>
      <w:r w:rsidR="00365C28" w:rsidRPr="00365C28">
        <w:t xml:space="preserve"> </w:t>
      </w:r>
      <w:r w:rsidR="00365C28">
        <w:rPr>
          <w:rFonts w:ascii="Times New Roman" w:eastAsia="MS Mincho" w:hAnsi="Times New Roman" w:cs="Times New Roman"/>
          <w:b/>
          <w:bCs/>
          <w:sz w:val="24"/>
          <w:szCs w:val="24"/>
          <w:lang w:val="en-US" w:eastAsia="tr-TR"/>
        </w:rPr>
        <w:t>e</w:t>
      </w:r>
      <w:r w:rsidR="00365C28" w:rsidRPr="00365C28">
        <w:rPr>
          <w:rFonts w:ascii="Times New Roman" w:eastAsia="MS Mincho" w:hAnsi="Times New Roman" w:cs="Times New Roman"/>
          <w:b/>
          <w:bCs/>
          <w:sz w:val="24"/>
          <w:szCs w:val="24"/>
          <w:lang w:val="en-US" w:eastAsia="tr-TR"/>
        </w:rPr>
        <w:t>ach word should begin with a capital letter (exce</w:t>
      </w:r>
      <w:r w:rsidR="001475BD">
        <w:rPr>
          <w:rFonts w:ascii="Times New Roman" w:eastAsia="MS Mincho" w:hAnsi="Times New Roman" w:cs="Times New Roman"/>
          <w:b/>
          <w:bCs/>
          <w:sz w:val="24"/>
          <w:szCs w:val="24"/>
          <w:lang w:val="en-US" w:eastAsia="tr-TR"/>
        </w:rPr>
        <w:t>pt for 'of', 'in', 'and', etc.)</w:t>
      </w:r>
    </w:p>
    <w:p w:rsidR="00394E8F" w:rsidRPr="00394E8F" w:rsidRDefault="00394E8F" w:rsidP="00394E8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US" w:eastAsia="tr-TR"/>
        </w:rPr>
      </w:pPr>
    </w:p>
    <w:p w:rsidR="00394E8F" w:rsidRDefault="00394E8F" w:rsidP="00394E8F">
      <w:pPr>
        <w:spacing w:after="0" w:line="360" w:lineRule="auto"/>
        <w:contextualSpacing/>
        <w:jc w:val="center"/>
        <w:rPr>
          <w:rFonts w:ascii="Times New Roman" w:eastAsia="MS Mincho" w:hAnsi="Times New Roman" w:cs="Times New Roman"/>
          <w:bCs/>
          <w:sz w:val="18"/>
          <w:szCs w:val="18"/>
          <w:lang w:eastAsia="tr-TR"/>
        </w:rPr>
      </w:pPr>
    </w:p>
    <w:p w:rsidR="00394E8F" w:rsidRDefault="00394E8F" w:rsidP="00394E8F">
      <w:pPr>
        <w:spacing w:after="0" w:line="360" w:lineRule="auto"/>
        <w:contextualSpacing/>
        <w:rPr>
          <w:rFonts w:ascii="Times New Roman" w:eastAsia="MS Mincho" w:hAnsi="Times New Roman" w:cs="Times New Roman"/>
          <w:b/>
          <w:sz w:val="24"/>
          <w:szCs w:val="20"/>
          <w:lang w:val="en-US" w:eastAsia="tr-TR"/>
        </w:rPr>
      </w:pPr>
    </w:p>
    <w:p w:rsidR="00394E8F" w:rsidRDefault="00394E8F" w:rsidP="00394E8F">
      <w:pPr>
        <w:spacing w:after="0" w:line="360" w:lineRule="auto"/>
        <w:contextualSpacing/>
        <w:rPr>
          <w:rFonts w:ascii="Times New Roman" w:eastAsia="MS Mincho" w:hAnsi="Times New Roman" w:cs="Times New Roman"/>
          <w:b/>
          <w:sz w:val="24"/>
          <w:szCs w:val="20"/>
          <w:lang w:val="en-US" w:eastAsia="tr-TR"/>
        </w:rPr>
      </w:pPr>
    </w:p>
    <w:p w:rsidR="00394E8F" w:rsidRPr="00394E8F" w:rsidRDefault="00394E8F" w:rsidP="00394E8F">
      <w:pPr>
        <w:spacing w:after="0" w:line="360" w:lineRule="auto"/>
        <w:contextualSpacing/>
        <w:rPr>
          <w:rFonts w:ascii="Times New Roman" w:eastAsia="MS Mincho" w:hAnsi="Times New Roman" w:cs="Times New Roman"/>
          <w:b/>
          <w:sz w:val="24"/>
          <w:szCs w:val="20"/>
          <w:lang w:val="en-US" w:eastAsia="tr-TR"/>
        </w:rPr>
      </w:pPr>
      <w:r w:rsidRPr="00394E8F">
        <w:rPr>
          <w:rFonts w:ascii="Times New Roman" w:eastAsia="MS Mincho" w:hAnsi="Times New Roman" w:cs="Times New Roman"/>
          <w:b/>
          <w:sz w:val="24"/>
          <w:szCs w:val="20"/>
          <w:lang w:val="en-US" w:eastAsia="tr-TR"/>
        </w:rPr>
        <w:t>Abstract</w:t>
      </w:r>
    </w:p>
    <w:p w:rsidR="001475BD" w:rsidRDefault="00394E8F" w:rsidP="00394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val="en-US" w:eastAsia="tr-TR"/>
        </w:rPr>
      </w:pPr>
      <w:r w:rsidRPr="00394E8F">
        <w:rPr>
          <w:rFonts w:ascii="Times New Roman" w:eastAsia="MS Mincho" w:hAnsi="Times New Roman" w:cs="Times New Roman"/>
          <w:sz w:val="20"/>
          <w:szCs w:val="20"/>
          <w:lang w:val="en-US" w:eastAsia="tr-TR"/>
        </w:rPr>
        <w:t>Times New Roman 10 pt (Maximum 250 words)</w:t>
      </w:r>
    </w:p>
    <w:p w:rsidR="001475BD" w:rsidRDefault="001475BD" w:rsidP="00394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val="en-US" w:eastAsia="tr-TR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tr-TR"/>
        </w:rPr>
        <w:t>Abstract</w:t>
      </w:r>
      <w:r w:rsidRPr="001475BD">
        <w:rPr>
          <w:rFonts w:ascii="Times New Roman" w:eastAsia="MS Mincho" w:hAnsi="Times New Roman" w:cs="Times New Roman"/>
          <w:sz w:val="20"/>
          <w:szCs w:val="20"/>
          <w:lang w:val="en-US" w:eastAsia="tr-TR"/>
        </w:rPr>
        <w:t xml:space="preserve"> should be written in paragraph form without being divided into headings.</w:t>
      </w:r>
    </w:p>
    <w:p w:rsidR="001475BD" w:rsidRDefault="001475BD" w:rsidP="00394E8F">
      <w:pPr>
        <w:spacing w:after="0" w:line="360" w:lineRule="auto"/>
        <w:contextualSpacing/>
        <w:jc w:val="both"/>
        <w:outlineLvl w:val="0"/>
        <w:rPr>
          <w:rFonts w:ascii="Times New Roman" w:eastAsia="MS Mincho" w:hAnsi="Times New Roman" w:cs="Times New Roman"/>
          <w:sz w:val="20"/>
          <w:szCs w:val="20"/>
          <w:lang w:val="en-US" w:eastAsia="tr-TR"/>
        </w:rPr>
      </w:pPr>
      <w:r w:rsidRPr="001475BD">
        <w:rPr>
          <w:rFonts w:ascii="Times New Roman" w:eastAsia="MS Mincho" w:hAnsi="Times New Roman" w:cs="Times New Roman"/>
          <w:sz w:val="20"/>
          <w:szCs w:val="20"/>
          <w:lang w:val="en-US" w:eastAsia="tr-TR"/>
        </w:rPr>
        <w:t>Only English summaries should be written.</w:t>
      </w:r>
    </w:p>
    <w:p w:rsidR="001475BD" w:rsidRDefault="001475BD" w:rsidP="00394E8F">
      <w:pPr>
        <w:spacing w:after="0" w:line="360" w:lineRule="auto"/>
        <w:contextualSpacing/>
        <w:jc w:val="both"/>
        <w:outlineLvl w:val="0"/>
        <w:rPr>
          <w:rFonts w:ascii="Times New Roman" w:eastAsia="MS Mincho" w:hAnsi="Times New Roman" w:cs="Times New Roman"/>
          <w:b/>
          <w:i/>
          <w:sz w:val="24"/>
          <w:szCs w:val="20"/>
          <w:u w:val="single"/>
          <w:lang w:val="en-US" w:eastAsia="tr-TR"/>
        </w:rPr>
      </w:pPr>
    </w:p>
    <w:p w:rsidR="00394E8F" w:rsidRPr="00394E8F" w:rsidRDefault="00394E8F" w:rsidP="00394E8F">
      <w:pPr>
        <w:spacing w:after="0" w:line="360" w:lineRule="auto"/>
        <w:contextualSpacing/>
        <w:jc w:val="both"/>
        <w:outlineLvl w:val="0"/>
        <w:rPr>
          <w:rFonts w:ascii="Times New Roman" w:eastAsia="MS Mincho" w:hAnsi="Times New Roman" w:cs="Times New Roman"/>
          <w:i/>
          <w:sz w:val="20"/>
          <w:szCs w:val="20"/>
          <w:lang w:eastAsia="tr-TR"/>
        </w:rPr>
      </w:pPr>
      <w:r w:rsidRPr="00394E8F">
        <w:rPr>
          <w:rFonts w:ascii="Times New Roman" w:eastAsia="MS Mincho" w:hAnsi="Times New Roman" w:cs="Times New Roman"/>
          <w:b/>
          <w:i/>
          <w:sz w:val="24"/>
          <w:szCs w:val="20"/>
          <w:u w:val="single"/>
          <w:lang w:val="en-US" w:eastAsia="tr-TR"/>
        </w:rPr>
        <w:t>Keywords:</w:t>
      </w:r>
      <w:r w:rsidRPr="00394E8F">
        <w:rPr>
          <w:rFonts w:ascii="Times New Roman" w:eastAsia="MS Mincho" w:hAnsi="Times New Roman" w:cs="Times New Roman"/>
          <w:sz w:val="24"/>
          <w:szCs w:val="24"/>
          <w:lang w:eastAsia="tr-TR"/>
        </w:rPr>
        <w:t xml:space="preserve"> </w:t>
      </w:r>
      <w:r w:rsidR="00B41FFC" w:rsidRPr="00B41FFC">
        <w:rPr>
          <w:rFonts w:ascii="Times New Roman" w:eastAsia="MS Mincho" w:hAnsi="Times New Roman" w:cs="Times New Roman"/>
          <w:i/>
          <w:sz w:val="20"/>
          <w:szCs w:val="20"/>
          <w:lang w:eastAsia="tr-TR"/>
        </w:rPr>
        <w:t>keyword1, keyword2, keyword3, keyword4, keyword5 (According to MeSH index)  (Alphabetical order, If it's a proper noun, capitalize the first letter; if not, use lowercase for the first letter.)</w:t>
      </w:r>
    </w:p>
    <w:p w:rsidR="00394E8F" w:rsidRPr="00394E8F" w:rsidRDefault="00394E8F" w:rsidP="00394E8F">
      <w:pPr>
        <w:spacing w:after="0" w:line="360" w:lineRule="auto"/>
        <w:contextualSpacing/>
        <w:jc w:val="both"/>
        <w:outlineLvl w:val="0"/>
        <w:rPr>
          <w:rFonts w:ascii="Times New Roman" w:eastAsia="MS Mincho" w:hAnsi="Times New Roman" w:cs="Times New Roman"/>
          <w:i/>
          <w:sz w:val="20"/>
          <w:szCs w:val="20"/>
          <w:lang w:val="en-US" w:eastAsia="tr-TR"/>
        </w:rPr>
      </w:pPr>
    </w:p>
    <w:p w:rsidR="00394E8F" w:rsidRDefault="00394E8F" w:rsidP="00394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val="en-US" w:eastAsia="tr-TR"/>
        </w:rPr>
      </w:pPr>
    </w:p>
    <w:p w:rsidR="00394E8F" w:rsidRPr="00394E8F" w:rsidRDefault="00394E8F" w:rsidP="00394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val="en-US" w:eastAsia="tr-TR"/>
        </w:rPr>
      </w:pPr>
    </w:p>
    <w:p w:rsidR="00394E8F" w:rsidRPr="00394E8F" w:rsidRDefault="00394E8F" w:rsidP="00394E8F">
      <w:pPr>
        <w:spacing w:after="0" w:line="360" w:lineRule="auto"/>
        <w:contextualSpacing/>
        <w:jc w:val="center"/>
        <w:rPr>
          <w:rFonts w:ascii="Times New Roman" w:eastAsia="MS Mincho" w:hAnsi="Times New Roman" w:cs="Times New Roman"/>
          <w:sz w:val="18"/>
          <w:szCs w:val="18"/>
          <w:lang w:val="en-US"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94E8F" w:rsidRDefault="00394E8F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E63253" w:rsidRDefault="00E63253" w:rsidP="00394E8F">
      <w:pPr>
        <w:pStyle w:val="stBilgi"/>
        <w:spacing w:line="360" w:lineRule="auto"/>
        <w:contextualSpacing/>
        <w:jc w:val="center"/>
        <w:rPr>
          <w:rFonts w:ascii="Times New Roman" w:hAnsi="Times New Roman" w:cs="Times New Roman"/>
          <w:color w:val="4472C4" w:themeColor="accent5"/>
          <w:sz w:val="18"/>
          <w:szCs w:val="18"/>
          <w:u w:val="single"/>
          <w:lang w:eastAsia="tr-TR"/>
        </w:rPr>
      </w:pPr>
    </w:p>
    <w:p w:rsidR="00365C28" w:rsidRDefault="00365C28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0F4169" w:rsidRDefault="000F4169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365C28" w:rsidRPr="00365C28" w:rsidRDefault="00365C28" w:rsidP="00E6325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655AAF" w:rsidRPr="00655AAF" w:rsidRDefault="00655AAF" w:rsidP="00655AAF">
      <w:pPr>
        <w:numPr>
          <w:ilvl w:val="0"/>
          <w:numId w:val="1"/>
        </w:numPr>
        <w:spacing w:after="240" w:line="360" w:lineRule="auto"/>
        <w:contextualSpacing/>
        <w:jc w:val="both"/>
        <w:outlineLvl w:val="0"/>
        <w:rPr>
          <w:rFonts w:ascii="Cambria" w:eastAsia="MS Mincho" w:hAnsi="Cambria" w:cs="Times New Roman"/>
          <w:b/>
          <w:szCs w:val="24"/>
          <w:lang w:val="en-US"/>
        </w:rPr>
      </w:pPr>
      <w:r w:rsidRPr="00655AAF">
        <w:rPr>
          <w:rFonts w:ascii="Cambria" w:eastAsia="MS Mincho" w:hAnsi="Cambria" w:cs="Times New Roman"/>
          <w:b/>
          <w:szCs w:val="24"/>
          <w:lang w:val="en-US"/>
        </w:rPr>
        <w:t>Introduction</w:t>
      </w:r>
    </w:p>
    <w:p w:rsidR="00655AAF" w:rsidRPr="00655AAF" w:rsidRDefault="00655AAF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szCs w:val="24"/>
          <w:lang w:val="en-US" w:eastAsia="tr-TR"/>
        </w:rPr>
      </w:pPr>
      <w:r w:rsidRPr="00655AAF">
        <w:rPr>
          <w:rFonts w:ascii="Times New Roman" w:eastAsia="MS Mincho" w:hAnsi="Times New Roman" w:cs="Times New Roman"/>
          <w:szCs w:val="24"/>
          <w:lang w:val="en-US" w:eastAsia="tr-TR"/>
        </w:rPr>
        <w:t>Times New Roman 11 pt</w:t>
      </w:r>
    </w:p>
    <w:p w:rsidR="00655AAF" w:rsidRPr="00655AAF" w:rsidRDefault="00655AAF" w:rsidP="00655AAF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Cambria" w:eastAsia="MS Mincho" w:hAnsi="Cambria" w:cs="Times New Roman"/>
          <w:b/>
          <w:bCs/>
          <w:szCs w:val="24"/>
          <w:lang w:val="en-US"/>
        </w:rPr>
      </w:pPr>
      <w:r w:rsidRPr="00655AAF">
        <w:rPr>
          <w:rFonts w:ascii="Cambria" w:eastAsia="MS Mincho" w:hAnsi="Cambria" w:cs="Times New Roman"/>
          <w:b/>
          <w:bCs/>
          <w:szCs w:val="24"/>
          <w:lang w:val="en-US"/>
        </w:rPr>
        <w:t xml:space="preserve">Materials and Methods  </w:t>
      </w:r>
    </w:p>
    <w:p w:rsidR="00055AE4" w:rsidRPr="00655AAF" w:rsidRDefault="00055AE4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bCs/>
          <w:szCs w:val="24"/>
          <w:lang w:val="en-US" w:eastAsia="tr-TR"/>
        </w:rPr>
      </w:pPr>
      <w:r>
        <w:rPr>
          <w:rFonts w:ascii="Times New Roman" w:eastAsia="MS Mincho" w:hAnsi="Times New Roman" w:cs="Times New Roman"/>
          <w:bCs/>
          <w:szCs w:val="24"/>
          <w:lang w:val="en-US" w:eastAsia="tr-TR"/>
        </w:rPr>
        <w:t xml:space="preserve">Times New Roman 11 pt </w:t>
      </w:r>
      <w:r w:rsidRPr="00055AE4">
        <w:rPr>
          <w:rFonts w:ascii="Times New Roman" w:eastAsia="MS Mincho" w:hAnsi="Times New Roman" w:cs="Times New Roman"/>
          <w:b/>
          <w:bCs/>
          <w:i/>
          <w:szCs w:val="24"/>
          <w:lang w:val="en-US" w:eastAsia="tr-TR"/>
        </w:rPr>
        <w:t>(The information in the Material Method section of the journal writing rules should be included).</w:t>
      </w:r>
    </w:p>
    <w:p w:rsidR="00655AAF" w:rsidRPr="00655AAF" w:rsidRDefault="00655AAF" w:rsidP="00655AAF">
      <w:pPr>
        <w:spacing w:after="240" w:line="360" w:lineRule="auto"/>
        <w:ind w:left="357"/>
        <w:jc w:val="both"/>
        <w:rPr>
          <w:rFonts w:ascii="Times New Roman" w:eastAsia="MS Mincho" w:hAnsi="Times New Roman" w:cs="Times New Roman"/>
          <w:b/>
          <w:szCs w:val="24"/>
          <w:lang w:eastAsia="tr-TR"/>
        </w:rPr>
      </w:pPr>
      <w:r w:rsidRPr="00655AAF">
        <w:rPr>
          <w:rFonts w:ascii="Times New Roman" w:eastAsia="MS Mincho" w:hAnsi="Times New Roman" w:cs="Times New Roman"/>
          <w:b/>
          <w:szCs w:val="24"/>
          <w:lang w:eastAsia="tr-TR"/>
        </w:rPr>
        <w:t>2.1. Subtitle (if necessary)</w:t>
      </w:r>
    </w:p>
    <w:p w:rsidR="00655AAF" w:rsidRPr="00655AAF" w:rsidRDefault="00655AAF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bCs/>
          <w:szCs w:val="24"/>
          <w:lang w:val="en-US" w:eastAsia="tr-TR"/>
        </w:rPr>
      </w:pPr>
      <w:r w:rsidRPr="00655AAF">
        <w:rPr>
          <w:rFonts w:ascii="Times New Roman" w:eastAsia="MS Mincho" w:hAnsi="Times New Roman" w:cs="Times New Roman"/>
          <w:bCs/>
          <w:szCs w:val="24"/>
          <w:lang w:val="en-US" w:eastAsia="tr-TR"/>
        </w:rPr>
        <w:t xml:space="preserve">Times New Roman 11 pt </w:t>
      </w:r>
    </w:p>
    <w:p w:rsidR="00655AAF" w:rsidRPr="00655AAF" w:rsidRDefault="00655AAF" w:rsidP="00655AAF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Cambria" w:eastAsia="MS Mincho" w:hAnsi="Cambria" w:cs="Times New Roman"/>
          <w:b/>
          <w:bCs/>
          <w:szCs w:val="24"/>
          <w:lang w:val="en-US"/>
        </w:rPr>
      </w:pPr>
      <w:r w:rsidRPr="00655AAF">
        <w:rPr>
          <w:rFonts w:ascii="Cambria" w:eastAsia="MS Mincho" w:hAnsi="Cambria" w:cs="Times New Roman"/>
          <w:b/>
          <w:bCs/>
          <w:szCs w:val="24"/>
          <w:lang w:val="en-US"/>
        </w:rPr>
        <w:t xml:space="preserve">Results  </w:t>
      </w:r>
    </w:p>
    <w:p w:rsidR="00655AAF" w:rsidRPr="00655AAF" w:rsidRDefault="00655AAF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bCs/>
          <w:szCs w:val="24"/>
          <w:lang w:val="en-US" w:eastAsia="tr-TR"/>
        </w:rPr>
      </w:pPr>
      <w:r w:rsidRPr="00655AAF">
        <w:rPr>
          <w:rFonts w:ascii="Times New Roman" w:eastAsia="MS Mincho" w:hAnsi="Times New Roman" w:cs="Times New Roman"/>
          <w:bCs/>
          <w:szCs w:val="24"/>
          <w:lang w:val="en-US" w:eastAsia="tr-TR"/>
        </w:rPr>
        <w:t>Times New Roman 11 pt</w:t>
      </w:r>
    </w:p>
    <w:p w:rsidR="00655AAF" w:rsidRPr="00655AAF" w:rsidRDefault="00655AAF" w:rsidP="00655AAF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Cambria" w:eastAsia="MS Mincho" w:hAnsi="Cambria" w:cs="Times New Roman"/>
          <w:b/>
          <w:szCs w:val="24"/>
          <w:lang w:val="en-US"/>
        </w:rPr>
      </w:pPr>
      <w:r w:rsidRPr="00655AAF">
        <w:rPr>
          <w:rFonts w:ascii="Cambria" w:eastAsia="MS Mincho" w:hAnsi="Cambria" w:cs="Times New Roman"/>
          <w:b/>
          <w:szCs w:val="24"/>
          <w:lang w:val="en-US"/>
        </w:rPr>
        <w:t>Discussion</w:t>
      </w:r>
    </w:p>
    <w:p w:rsidR="00655AAF" w:rsidRPr="00655AAF" w:rsidRDefault="00655AAF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bCs/>
          <w:szCs w:val="24"/>
          <w:lang w:val="en-US" w:eastAsia="tr-TR"/>
        </w:rPr>
      </w:pPr>
      <w:r w:rsidRPr="00655AAF">
        <w:rPr>
          <w:rFonts w:ascii="Times New Roman" w:eastAsia="MS Mincho" w:hAnsi="Times New Roman" w:cs="Times New Roman"/>
          <w:bCs/>
          <w:szCs w:val="24"/>
          <w:lang w:val="en-US" w:eastAsia="tr-TR"/>
        </w:rPr>
        <w:t>Times New Roman 11 pt</w:t>
      </w:r>
    </w:p>
    <w:p w:rsidR="00655AAF" w:rsidRPr="00655AAF" w:rsidRDefault="00655AAF" w:rsidP="00655AAF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Cambria" w:eastAsia="MS Mincho" w:hAnsi="Cambria" w:cs="Times New Roman"/>
          <w:b/>
          <w:bCs/>
          <w:szCs w:val="24"/>
          <w:lang w:val="en-US"/>
        </w:rPr>
      </w:pPr>
      <w:r w:rsidRPr="00655AAF">
        <w:rPr>
          <w:rFonts w:ascii="Cambria" w:eastAsia="MS Mincho" w:hAnsi="Cambria" w:cs="Times New Roman"/>
          <w:b/>
          <w:bCs/>
          <w:szCs w:val="24"/>
          <w:lang w:val="en-US"/>
        </w:rPr>
        <w:t>Conclusion</w:t>
      </w:r>
    </w:p>
    <w:p w:rsidR="00E63253" w:rsidRPr="00CD0244" w:rsidRDefault="00CD0244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szCs w:val="24"/>
          <w:lang w:val="en-US" w:eastAsia="tr-TR"/>
        </w:rPr>
      </w:pPr>
      <w:r w:rsidRPr="00CD0244">
        <w:rPr>
          <w:rFonts w:ascii="Times New Roman" w:eastAsia="MS Mincho" w:hAnsi="Times New Roman" w:cs="Times New Roman"/>
          <w:szCs w:val="24"/>
          <w:lang w:val="en-US" w:eastAsia="tr-TR"/>
        </w:rPr>
        <w:t>Times New Roman 11 pt</w:t>
      </w:r>
    </w:p>
    <w:p w:rsidR="00655AAF" w:rsidRPr="00AA5E48" w:rsidRDefault="00AA5E48" w:rsidP="00AA5E48">
      <w:pPr>
        <w:spacing w:after="240" w:line="360" w:lineRule="auto"/>
        <w:jc w:val="both"/>
        <w:rPr>
          <w:rFonts w:ascii="Cambria" w:eastAsia="MS Mincho" w:hAnsi="Cambria" w:cs="Times New Roman"/>
          <w:b/>
          <w:szCs w:val="24"/>
          <w:lang w:val="en-US" w:eastAsia="tr-TR"/>
        </w:rPr>
      </w:pPr>
      <w:r>
        <w:rPr>
          <w:rFonts w:ascii="Cambria" w:eastAsia="MS Mincho" w:hAnsi="Cambria" w:cs="Times New Roman"/>
          <w:b/>
          <w:szCs w:val="24"/>
          <w:lang w:val="en-US" w:eastAsia="tr-TR"/>
        </w:rPr>
        <w:t>Reference</w:t>
      </w:r>
      <w:r w:rsidR="00A11752">
        <w:rPr>
          <w:rFonts w:ascii="Cambria" w:eastAsia="MS Mincho" w:hAnsi="Cambria" w:cs="Times New Roman"/>
          <w:b/>
          <w:szCs w:val="24"/>
          <w:lang w:val="en-US" w:eastAsia="tr-TR"/>
        </w:rPr>
        <w:t>s</w:t>
      </w:r>
    </w:p>
    <w:p w:rsidR="00655AAF" w:rsidRDefault="00655AAF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bCs/>
          <w:sz w:val="20"/>
          <w:szCs w:val="24"/>
          <w:lang w:val="en-US" w:eastAsia="tr-TR"/>
        </w:rPr>
      </w:pPr>
      <w:r w:rsidRPr="00655AAF">
        <w:rPr>
          <w:rFonts w:ascii="Times New Roman" w:eastAsia="MS Mincho" w:hAnsi="Times New Roman" w:cs="Times New Roman"/>
          <w:bCs/>
          <w:sz w:val="20"/>
          <w:szCs w:val="24"/>
          <w:lang w:val="en-US" w:eastAsia="tr-TR"/>
        </w:rPr>
        <w:t>Times New Roman 10 pt</w:t>
      </w:r>
    </w:p>
    <w:p w:rsidR="00055AE4" w:rsidRPr="00655AAF" w:rsidRDefault="00055AE4" w:rsidP="00655AAF">
      <w:pPr>
        <w:spacing w:after="240" w:line="360" w:lineRule="auto"/>
        <w:jc w:val="both"/>
        <w:rPr>
          <w:rFonts w:ascii="Times New Roman" w:eastAsia="MS Mincho" w:hAnsi="Times New Roman" w:cs="Times New Roman"/>
          <w:bCs/>
          <w:sz w:val="20"/>
          <w:szCs w:val="24"/>
          <w:lang w:val="en-US" w:eastAsia="tr-TR"/>
        </w:rPr>
      </w:pPr>
      <w:r w:rsidRPr="00055AE4">
        <w:rPr>
          <w:rFonts w:ascii="Times New Roman" w:eastAsia="MS Mincho" w:hAnsi="Times New Roman" w:cs="Times New Roman"/>
          <w:bCs/>
          <w:sz w:val="20"/>
          <w:szCs w:val="24"/>
          <w:lang w:val="en-US" w:eastAsia="tr-TR"/>
        </w:rPr>
        <w:t>DOI number should be given with https extension</w:t>
      </w:r>
    </w:p>
    <w:p w:rsidR="00AA5E48" w:rsidRDefault="00AA5E48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eastAsia="tr-TR"/>
        </w:rPr>
      </w:pPr>
      <w:r w:rsidRPr="00AA5E48">
        <w:rPr>
          <w:rFonts w:ascii="Times New Roman" w:eastAsia="MS Mincho" w:hAnsi="Times New Roman" w:cs="Times New Roman"/>
          <w:sz w:val="20"/>
          <w:lang w:eastAsia="tr-TR"/>
        </w:rPr>
        <w:t xml:space="preserve">Al-Ramadhani, G.O., &amp; Al-Mtioti S. (2019). Determination of mesalazine spectrophotometry based on the charge transfer complex n- π using reagent p-bromanil. Journal of Education And Science, 28 (2), 71-84. http://dx.doi.org/10.33899/edusj.2019.161178 </w:t>
      </w:r>
    </w:p>
    <w:p w:rsidR="00AA5E48" w:rsidRPr="00655AAF" w:rsidRDefault="00AA5E48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  <w:r w:rsidRPr="00AA5E48">
        <w:rPr>
          <w:rFonts w:ascii="Times New Roman" w:eastAsia="MS Mincho" w:hAnsi="Times New Roman" w:cs="Times New Roman"/>
          <w:sz w:val="20"/>
          <w:lang w:eastAsia="tr-TR"/>
        </w:rPr>
        <w:t>Altayib, F., Abdalla, A., &amp; Elbashir, A.A., (2014). Development and validation of spectrophot-ometric methods for the determination of mesalazine in pharmaceutical formulation. Medicinal Chemistry, 4 (3), 361-366. http://dx.doi.org/10.4172/2161-0444.1000166</w:t>
      </w:r>
    </w:p>
    <w:p w:rsidR="00655AAF" w:rsidRDefault="00655AAF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0F4169" w:rsidRDefault="000F416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0F4169" w:rsidRDefault="000F416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0F4169" w:rsidRDefault="000F416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0F4169" w:rsidRDefault="000F4169" w:rsidP="00655A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  <w:bookmarkStart w:id="0" w:name="_GoBack"/>
      <w:bookmarkEnd w:id="0"/>
    </w:p>
    <w:p w:rsidR="004258A9" w:rsidRPr="00655AAF" w:rsidRDefault="004258A9" w:rsidP="00A1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lang w:val="en-US" w:eastAsia="tr-TR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lang w:val="en-US" w:eastAsia="tr-TR"/>
        </w:rPr>
      </w:pPr>
    </w:p>
    <w:p w:rsidR="004258A9" w:rsidRPr="004258A9" w:rsidRDefault="004258A9" w:rsidP="0042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lang w:val="en-US" w:eastAsia="tr-TR"/>
        </w:rPr>
      </w:pPr>
      <w:r w:rsidRPr="004258A9">
        <w:rPr>
          <w:rFonts w:ascii="Times New Roman" w:eastAsia="MS Mincho" w:hAnsi="Times New Roman" w:cs="Times New Roman"/>
          <w:i/>
          <w:lang w:val="en-US" w:eastAsia="tr-TR"/>
        </w:rPr>
        <w:lastRenderedPageBreak/>
        <w:t>Figures and tables should be added to single-column pages at the end of the article, with a table/figure on each page (as below).</w:t>
      </w:r>
    </w:p>
    <w:p w:rsidR="00394E8F" w:rsidRDefault="00394E8F"/>
    <w:p w:rsidR="004258A9" w:rsidRPr="004258A9" w:rsidRDefault="004258A9" w:rsidP="004258A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258A9">
        <w:rPr>
          <w:rFonts w:ascii="Times New Roman" w:hAnsi="Times New Roman" w:cs="Times New Roman"/>
          <w:b/>
        </w:rPr>
        <w:t>Table 1.</w:t>
      </w:r>
      <w:r w:rsidRPr="004258A9">
        <w:rPr>
          <w:rFonts w:ascii="Times New Roman" w:hAnsi="Times New Roman" w:cs="Times New Roman"/>
        </w:rPr>
        <w:t xml:space="preserve"> The most purchased foods with the effect of advertising</w:t>
      </w: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1171"/>
        <w:gridCol w:w="1399"/>
        <w:gridCol w:w="1478"/>
        <w:gridCol w:w="1087"/>
      </w:tblGrid>
      <w:tr w:rsidR="004258A9" w:rsidRPr="004258A9" w:rsidTr="0073644B">
        <w:trPr>
          <w:trHeight w:val="340"/>
        </w:trPr>
        <w:tc>
          <w:tcPr>
            <w:tcW w:w="4187" w:type="dxa"/>
            <w:tcBorders>
              <w:top w:val="single" w:sz="4" w:space="0" w:color="0070C0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Food Group</w:t>
            </w:r>
          </w:p>
        </w:tc>
        <w:tc>
          <w:tcPr>
            <w:tcW w:w="2765" w:type="dxa"/>
            <w:gridSpan w:val="2"/>
            <w:tcBorders>
              <w:top w:val="single" w:sz="4" w:space="0" w:color="0070C0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759" w:type="dxa"/>
            <w:gridSpan w:val="2"/>
            <w:tcBorders>
              <w:top w:val="single" w:sz="4" w:space="0" w:color="0070C0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nil"/>
              <w:bottom w:val="single" w:sz="4" w:space="0" w:color="0070C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70C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single" w:sz="4" w:space="0" w:color="0070C0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Meat and meat products</w:t>
            </w:r>
          </w:p>
        </w:tc>
        <w:tc>
          <w:tcPr>
            <w:tcW w:w="1257" w:type="dxa"/>
            <w:tcBorders>
              <w:top w:val="single" w:sz="4" w:space="0" w:color="0070C0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08" w:type="dxa"/>
            <w:tcBorders>
              <w:top w:val="single" w:sz="4" w:space="0" w:color="0070C0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1604" w:type="dxa"/>
            <w:tcBorders>
              <w:top w:val="single" w:sz="4" w:space="0" w:color="0070C0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70C0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Milk, yoghurt etc.</w:t>
            </w:r>
          </w:p>
        </w:tc>
        <w:tc>
          <w:tcPr>
            <w:tcW w:w="1257" w:type="dxa"/>
            <w:tcBorders>
              <w:top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Fruit and vegetable</w:t>
            </w:r>
          </w:p>
        </w:tc>
        <w:tc>
          <w:tcPr>
            <w:tcW w:w="1257" w:type="dxa"/>
            <w:tcBorders>
              <w:top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Cereals, legumes</w:t>
            </w:r>
          </w:p>
        </w:tc>
        <w:tc>
          <w:tcPr>
            <w:tcW w:w="1257" w:type="dxa"/>
            <w:tcBorders>
              <w:top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Fats</w:t>
            </w:r>
          </w:p>
        </w:tc>
        <w:tc>
          <w:tcPr>
            <w:tcW w:w="1257" w:type="dxa"/>
            <w:tcBorders>
              <w:top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Fast food</w:t>
            </w:r>
          </w:p>
        </w:tc>
        <w:tc>
          <w:tcPr>
            <w:tcW w:w="1257" w:type="dxa"/>
            <w:tcBorders>
              <w:top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Chocolate, biscuit, cake</w:t>
            </w:r>
          </w:p>
        </w:tc>
        <w:tc>
          <w:tcPr>
            <w:tcW w:w="1257" w:type="dxa"/>
            <w:tcBorders>
              <w:top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55.4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nil"/>
              <w:bottom w:val="single" w:sz="4" w:space="0" w:color="0070C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Soft drink</w:t>
            </w:r>
          </w:p>
        </w:tc>
        <w:tc>
          <w:tcPr>
            <w:tcW w:w="1257" w:type="dxa"/>
            <w:tcBorders>
              <w:top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70C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4258A9" w:rsidRPr="004258A9" w:rsidTr="0073644B">
        <w:trPr>
          <w:trHeight w:val="340"/>
        </w:trPr>
        <w:tc>
          <w:tcPr>
            <w:tcW w:w="4187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57" w:type="dxa"/>
            <w:tcBorders>
              <w:top w:val="single" w:sz="4" w:space="0" w:color="0070C0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50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15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258A9" w:rsidRDefault="004258A9" w:rsidP="004258A9">
      <w:pPr>
        <w:widowControl w:val="0"/>
        <w:autoSpaceDE w:val="0"/>
        <w:autoSpaceDN w:val="0"/>
        <w:adjustRightInd w:val="0"/>
        <w:jc w:val="both"/>
        <w:rPr>
          <w:sz w:val="20"/>
          <w:lang w:val="en-US"/>
        </w:rPr>
      </w:pPr>
    </w:p>
    <w:p w:rsidR="004258A9" w:rsidRPr="004258A9" w:rsidRDefault="004258A9" w:rsidP="004258A9">
      <w:pPr>
        <w:spacing w:line="360" w:lineRule="auto"/>
        <w:jc w:val="both"/>
        <w:rPr>
          <w:rFonts w:ascii="Times New Roman" w:hAnsi="Times New Roman" w:cs="Times New Roman"/>
        </w:rPr>
      </w:pPr>
      <w:r w:rsidRPr="004258A9">
        <w:rPr>
          <w:rFonts w:ascii="Times New Roman" w:hAnsi="Times New Roman" w:cs="Times New Roman"/>
          <w:b/>
        </w:rPr>
        <w:t xml:space="preserve">Table 2: </w:t>
      </w:r>
      <w:r w:rsidRPr="004258A9">
        <w:rPr>
          <w:rFonts w:ascii="Times New Roman" w:hAnsi="Times New Roman" w:cs="Times New Roman"/>
        </w:rPr>
        <w:t>Comparison of study and control groups in terms of biochemistry laboratory examination results; non-parametric data</w:t>
      </w: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978"/>
        <w:gridCol w:w="2554"/>
        <w:gridCol w:w="2554"/>
        <w:gridCol w:w="2554"/>
      </w:tblGrid>
      <w:tr w:rsidR="004258A9" w:rsidRPr="004258A9" w:rsidTr="009D314C">
        <w:trPr>
          <w:trHeight w:val="340"/>
        </w:trPr>
        <w:tc>
          <w:tcPr>
            <w:tcW w:w="197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Autism Group N=30</w:t>
            </w:r>
          </w:p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Mean Rank</w:t>
            </w:r>
          </w:p>
        </w:tc>
        <w:tc>
          <w:tcPr>
            <w:tcW w:w="255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Control Group N=30</w:t>
            </w:r>
          </w:p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Mean Rank</w:t>
            </w:r>
          </w:p>
        </w:tc>
        <w:tc>
          <w:tcPr>
            <w:tcW w:w="255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4258A9" w:rsidRPr="004258A9" w:rsidTr="009D314C">
        <w:trPr>
          <w:trHeight w:val="340"/>
        </w:trPr>
        <w:tc>
          <w:tcPr>
            <w:tcW w:w="1978" w:type="dxa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</w:rPr>
              <w:t>ALT (U/L)</w:t>
            </w:r>
          </w:p>
        </w:tc>
        <w:tc>
          <w:tcPr>
            <w:tcW w:w="2554" w:type="dxa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27.23</w:t>
            </w:r>
          </w:p>
        </w:tc>
        <w:tc>
          <w:tcPr>
            <w:tcW w:w="2554" w:type="dxa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19.43</w:t>
            </w:r>
          </w:p>
        </w:tc>
        <w:tc>
          <w:tcPr>
            <w:tcW w:w="2554" w:type="dxa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0.049*</w:t>
            </w:r>
          </w:p>
        </w:tc>
      </w:tr>
      <w:tr w:rsidR="004258A9" w:rsidRPr="004258A9" w:rsidTr="009D314C">
        <w:trPr>
          <w:trHeight w:val="340"/>
        </w:trPr>
        <w:tc>
          <w:tcPr>
            <w:tcW w:w="1978" w:type="dxa"/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</w:rPr>
              <w:t>TSH (µIU/mL)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18.64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18.36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0.938</w:t>
            </w:r>
          </w:p>
        </w:tc>
      </w:tr>
      <w:tr w:rsidR="004258A9" w:rsidRPr="004258A9" w:rsidTr="009D314C">
        <w:trPr>
          <w:trHeight w:val="340"/>
        </w:trPr>
        <w:tc>
          <w:tcPr>
            <w:tcW w:w="1978" w:type="dxa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</w:rPr>
              <w:t>Ferritin (ng/ml)</w:t>
            </w:r>
          </w:p>
        </w:tc>
        <w:tc>
          <w:tcPr>
            <w:tcW w:w="2554" w:type="dxa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18.68</w:t>
            </w:r>
          </w:p>
        </w:tc>
        <w:tc>
          <w:tcPr>
            <w:tcW w:w="2554" w:type="dxa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17.55</w:t>
            </w:r>
          </w:p>
        </w:tc>
        <w:tc>
          <w:tcPr>
            <w:tcW w:w="2554" w:type="dxa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sz w:val="20"/>
              </w:rPr>
              <w:t>0.749</w:t>
            </w:r>
          </w:p>
        </w:tc>
      </w:tr>
    </w:tbl>
    <w:p w:rsidR="004258A9" w:rsidRPr="004258A9" w:rsidRDefault="004258A9" w:rsidP="004258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Pr="004258A9" w:rsidRDefault="004258A9" w:rsidP="004258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58A9" w:rsidRPr="004258A9" w:rsidRDefault="004258A9" w:rsidP="004258A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258A9">
        <w:rPr>
          <w:rFonts w:ascii="Times New Roman" w:eastAsia="AdvTimes" w:hAnsi="Times New Roman" w:cs="Times New Roman"/>
          <w:b/>
          <w:lang w:val="en-US"/>
        </w:rPr>
        <w:lastRenderedPageBreak/>
        <w:t>Table 3:</w:t>
      </w:r>
      <w:r w:rsidRPr="004258A9">
        <w:rPr>
          <w:rFonts w:ascii="Times New Roman" w:eastAsia="AdvTimes" w:hAnsi="Times New Roman" w:cs="Times New Roman"/>
          <w:lang w:val="en-US"/>
        </w:rPr>
        <w:t xml:space="preserve"> </w:t>
      </w:r>
      <w:r w:rsidRPr="004258A9">
        <w:rPr>
          <w:rFonts w:ascii="Times New Roman" w:hAnsi="Times New Roman" w:cs="Times New Roman"/>
          <w:color w:val="000000" w:themeColor="text1"/>
          <w:lang w:val="en-US"/>
        </w:rPr>
        <w:t>Parameters for Power-Law equations at two different temperatures, 25 °C and 32 °C.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824"/>
        <w:gridCol w:w="2239"/>
        <w:gridCol w:w="1784"/>
        <w:gridCol w:w="1706"/>
        <w:gridCol w:w="1780"/>
      </w:tblGrid>
      <w:tr w:rsidR="004258A9" w:rsidRPr="004258A9" w:rsidTr="009D314C">
        <w:trPr>
          <w:trHeight w:val="340"/>
        </w:trPr>
        <w:tc>
          <w:tcPr>
            <w:tcW w:w="862" w:type="pct"/>
            <w:gridSpan w:val="2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Power-law</w:t>
            </w:r>
          </w:p>
        </w:tc>
        <w:tc>
          <w:tcPr>
            <w:tcW w:w="1234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Commercial product</w:t>
            </w:r>
          </w:p>
        </w:tc>
        <w:tc>
          <w:tcPr>
            <w:tcW w:w="983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20%poloxamer</w:t>
            </w:r>
          </w:p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+5%PG</w:t>
            </w:r>
          </w:p>
        </w:tc>
        <w:tc>
          <w:tcPr>
            <w:tcW w:w="940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20%poloxamer</w:t>
            </w:r>
          </w:p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+2,5%PG</w:t>
            </w:r>
          </w:p>
        </w:tc>
        <w:tc>
          <w:tcPr>
            <w:tcW w:w="981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25%poloxamer</w:t>
            </w:r>
          </w:p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A9">
              <w:rPr>
                <w:rFonts w:ascii="Times New Roman" w:hAnsi="Times New Roman" w:cs="Times New Roman"/>
                <w:b/>
                <w:sz w:val="20"/>
                <w:szCs w:val="20"/>
              </w:rPr>
              <w:t>+5%PG</w:t>
            </w:r>
          </w:p>
        </w:tc>
      </w:tr>
      <w:tr w:rsidR="004258A9" w:rsidRPr="004258A9" w:rsidTr="009D314C">
        <w:trPr>
          <w:trHeight w:val="340"/>
        </w:trPr>
        <w:tc>
          <w:tcPr>
            <w:tcW w:w="408" w:type="pct"/>
            <w:vMerge w:val="restart"/>
            <w:tcBorders>
              <w:top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</w:p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25 </w:t>
            </w:r>
            <w:r w:rsidRPr="004258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°C</w:t>
            </w:r>
          </w:p>
        </w:tc>
        <w:tc>
          <w:tcPr>
            <w:tcW w:w="454" w:type="pct"/>
            <w:tcBorders>
              <w:top w:val="single" w:sz="4" w:space="0" w:color="00B0F0"/>
              <w:lef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K±SE</w:t>
            </w:r>
          </w:p>
        </w:tc>
        <w:tc>
          <w:tcPr>
            <w:tcW w:w="1234" w:type="pct"/>
            <w:tcBorders>
              <w:top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19.147 ± 0.015</w:t>
            </w:r>
          </w:p>
        </w:tc>
        <w:tc>
          <w:tcPr>
            <w:tcW w:w="983" w:type="pct"/>
            <w:tcBorders>
              <w:top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194.044 ± 0.021</w:t>
            </w:r>
          </w:p>
        </w:tc>
        <w:tc>
          <w:tcPr>
            <w:tcW w:w="940" w:type="pct"/>
            <w:tcBorders>
              <w:top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676.993 ± 0.069</w:t>
            </w:r>
          </w:p>
        </w:tc>
        <w:tc>
          <w:tcPr>
            <w:tcW w:w="981" w:type="pct"/>
            <w:tcBorders>
              <w:top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759.018 ± 0.019</w:t>
            </w:r>
          </w:p>
        </w:tc>
      </w:tr>
      <w:tr w:rsidR="004258A9" w:rsidRPr="004258A9" w:rsidTr="009D314C">
        <w:trPr>
          <w:trHeight w:val="340"/>
        </w:trPr>
        <w:tc>
          <w:tcPr>
            <w:tcW w:w="408" w:type="pct"/>
            <w:vMerge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lef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n±SE</w:t>
            </w:r>
          </w:p>
        </w:tc>
        <w:tc>
          <w:tcPr>
            <w:tcW w:w="1234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2.378 ± 0.053</w:t>
            </w:r>
          </w:p>
        </w:tc>
        <w:tc>
          <w:tcPr>
            <w:tcW w:w="983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0.851 ±  0.020</w:t>
            </w:r>
          </w:p>
        </w:tc>
        <w:tc>
          <w:tcPr>
            <w:tcW w:w="940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0.401 ± 0.029</w:t>
            </w:r>
          </w:p>
        </w:tc>
        <w:tc>
          <w:tcPr>
            <w:tcW w:w="981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0.453 ± 0.009</w:t>
            </w:r>
          </w:p>
        </w:tc>
      </w:tr>
      <w:tr w:rsidR="004258A9" w:rsidRPr="004258A9" w:rsidTr="009D314C">
        <w:trPr>
          <w:trHeight w:val="340"/>
        </w:trPr>
        <w:tc>
          <w:tcPr>
            <w:tcW w:w="408" w:type="pct"/>
            <w:vMerge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left w:val="nil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R</w:t>
            </w: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vertAlign w:val="superscript"/>
                <w:lang w:val="en-US"/>
              </w:rPr>
              <w:t>2</w:t>
            </w: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±SE</w:t>
            </w:r>
          </w:p>
        </w:tc>
        <w:tc>
          <w:tcPr>
            <w:tcW w:w="1234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0.997 ± 0.014</w:t>
            </w:r>
          </w:p>
        </w:tc>
        <w:tc>
          <w:tcPr>
            <w:tcW w:w="983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0.860 ± 0.037</w:t>
            </w:r>
          </w:p>
        </w:tc>
        <w:tc>
          <w:tcPr>
            <w:tcW w:w="940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0.918 ± 0.048</w:t>
            </w:r>
          </w:p>
        </w:tc>
        <w:tc>
          <w:tcPr>
            <w:tcW w:w="981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0.990 ± 0.016</w:t>
            </w:r>
          </w:p>
        </w:tc>
      </w:tr>
      <w:tr w:rsidR="004258A9" w:rsidRPr="004258A9" w:rsidTr="009D314C">
        <w:trPr>
          <w:trHeight w:val="340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32 </w:t>
            </w:r>
            <w:r w:rsidRPr="004258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°C</w:t>
            </w:r>
          </w:p>
        </w:tc>
        <w:tc>
          <w:tcPr>
            <w:tcW w:w="454" w:type="pct"/>
            <w:tcBorders>
              <w:lef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K±SE</w:t>
            </w:r>
          </w:p>
        </w:tc>
        <w:tc>
          <w:tcPr>
            <w:tcW w:w="1234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10.285 ± 0.049</w:t>
            </w:r>
          </w:p>
        </w:tc>
        <w:tc>
          <w:tcPr>
            <w:tcW w:w="983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1734.156 ± 0.072</w:t>
            </w:r>
          </w:p>
        </w:tc>
        <w:tc>
          <w:tcPr>
            <w:tcW w:w="940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975.752 ± 0.109</w:t>
            </w:r>
          </w:p>
        </w:tc>
        <w:tc>
          <w:tcPr>
            <w:tcW w:w="981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5271.550 ± 0.111</w:t>
            </w:r>
          </w:p>
        </w:tc>
      </w:tr>
      <w:tr w:rsidR="004258A9" w:rsidRPr="004258A9" w:rsidTr="009D314C">
        <w:trPr>
          <w:trHeight w:val="340"/>
        </w:trPr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left w:val="nil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n±SE</w:t>
            </w:r>
          </w:p>
        </w:tc>
        <w:tc>
          <w:tcPr>
            <w:tcW w:w="1234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2.086 ± 0.137</w:t>
            </w:r>
          </w:p>
        </w:tc>
        <w:tc>
          <w:tcPr>
            <w:tcW w:w="983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0.390 ± 0.020</w:t>
            </w:r>
          </w:p>
        </w:tc>
        <w:tc>
          <w:tcPr>
            <w:tcW w:w="940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0.418 ± 0.038</w:t>
            </w:r>
          </w:p>
        </w:tc>
        <w:tc>
          <w:tcPr>
            <w:tcW w:w="981" w:type="pct"/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0.251 ± 0.015</w:t>
            </w:r>
          </w:p>
        </w:tc>
      </w:tr>
      <w:tr w:rsidR="004258A9" w:rsidRPr="004258A9" w:rsidTr="009D314C">
        <w:trPr>
          <w:trHeight w:val="340"/>
        </w:trPr>
        <w:tc>
          <w:tcPr>
            <w:tcW w:w="408" w:type="pct"/>
            <w:vMerge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pct"/>
            <w:tcBorders>
              <w:left w:val="nil"/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vertAlign w:val="superscript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R</w:t>
            </w: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vertAlign w:val="superscript"/>
                <w:lang w:val="en-US"/>
              </w:rPr>
              <w:t>2</w:t>
            </w: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±SE</w:t>
            </w:r>
          </w:p>
        </w:tc>
        <w:tc>
          <w:tcPr>
            <w:tcW w:w="1234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0.972 ± 0.048</w:t>
            </w:r>
          </w:p>
        </w:tc>
        <w:tc>
          <w:tcPr>
            <w:tcW w:w="983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0.957 ± 0.029</w:t>
            </w:r>
          </w:p>
        </w:tc>
        <w:tc>
          <w:tcPr>
            <w:tcW w:w="940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0.865 ± 0.064</w:t>
            </w:r>
          </w:p>
        </w:tc>
        <w:tc>
          <w:tcPr>
            <w:tcW w:w="981" w:type="pct"/>
            <w:tcBorders>
              <w:bottom w:val="single" w:sz="4" w:space="0" w:color="00B0F0"/>
            </w:tcBorders>
            <w:vAlign w:val="center"/>
          </w:tcPr>
          <w:p w:rsidR="004258A9" w:rsidRPr="004258A9" w:rsidRDefault="004258A9" w:rsidP="007364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4258A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0.947 ± 0.055</w:t>
            </w:r>
          </w:p>
        </w:tc>
      </w:tr>
    </w:tbl>
    <w:p w:rsidR="004258A9" w:rsidRPr="004258A9" w:rsidRDefault="004258A9" w:rsidP="004258A9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lang w:val="en-US"/>
        </w:rPr>
      </w:pPr>
      <w:r w:rsidRPr="004258A9">
        <w:rPr>
          <w:rFonts w:ascii="Times New Roman" w:hAnsi="Times New Roman" w:cs="Times New Roman"/>
          <w:color w:val="000000" w:themeColor="text1"/>
          <w:sz w:val="20"/>
          <w:lang w:val="en-US"/>
        </w:rPr>
        <w:t>’K’is the consistency index of power law equation,’ n’ is the flow behavior index, ‘R</w:t>
      </w:r>
      <w:r w:rsidRPr="004258A9">
        <w:rPr>
          <w:rFonts w:ascii="Times New Roman" w:hAnsi="Times New Roman" w:cs="Times New Roman"/>
          <w:color w:val="000000" w:themeColor="text1"/>
          <w:sz w:val="20"/>
          <w:vertAlign w:val="superscript"/>
          <w:lang w:val="en-US"/>
        </w:rPr>
        <w:t>2</w:t>
      </w:r>
      <w:r w:rsidRPr="004258A9">
        <w:rPr>
          <w:rFonts w:ascii="Times New Roman" w:hAnsi="Times New Roman" w:cs="Times New Roman"/>
          <w:color w:val="000000" w:themeColor="text1"/>
          <w:sz w:val="20"/>
          <w:lang w:val="en-US"/>
        </w:rPr>
        <w:t>‘is coefficient of determination,’SE’ is standard error</w:t>
      </w:r>
      <w:r w:rsidRPr="004258A9">
        <w:rPr>
          <w:rFonts w:ascii="Times New Roman" w:hAnsi="Times New Roman" w:cs="Times New Roman"/>
          <w:lang w:val="en-US"/>
        </w:rPr>
        <w:t xml:space="preserve"> </w:t>
      </w:r>
    </w:p>
    <w:p w:rsidR="004258A9" w:rsidRPr="004258A9" w:rsidRDefault="004258A9" w:rsidP="004258A9">
      <w:pPr>
        <w:jc w:val="center"/>
        <w:rPr>
          <w:rFonts w:ascii="Times New Roman" w:hAnsi="Times New Roman" w:cs="Times New Roman"/>
          <w:sz w:val="20"/>
          <w:lang w:val="en-US"/>
        </w:rPr>
      </w:pPr>
    </w:p>
    <w:p w:rsidR="004258A9" w:rsidRPr="004258A9" w:rsidRDefault="004258A9" w:rsidP="004258A9">
      <w:pPr>
        <w:jc w:val="center"/>
        <w:rPr>
          <w:rFonts w:ascii="Times New Roman" w:hAnsi="Times New Roman" w:cs="Times New Roman"/>
          <w:sz w:val="20"/>
          <w:lang w:val="en-US"/>
        </w:rPr>
      </w:pPr>
    </w:p>
    <w:p w:rsidR="004258A9" w:rsidRPr="004258A9" w:rsidRDefault="004258A9" w:rsidP="004258A9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4258A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3D31A1A" wp14:editId="549CF857">
            <wp:simplePos x="0" y="0"/>
            <wp:positionH relativeFrom="column">
              <wp:posOffset>324485</wp:posOffset>
            </wp:positionH>
            <wp:positionV relativeFrom="paragraph">
              <wp:posOffset>1270</wp:posOffset>
            </wp:positionV>
            <wp:extent cx="5535295" cy="2697480"/>
            <wp:effectExtent l="0" t="0" r="8255" b="7620"/>
            <wp:wrapSquare wrapText="bothSides"/>
            <wp:docPr id="4" name="Resim 2" descr="C:\Users\User\YandexDisk\TEZ\Tez\Tez makale\Enstitü dergi\Figur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TEZ\Tez\Tez makale\Enstitü dergi\Figure 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8A9" w:rsidRPr="004258A9" w:rsidRDefault="004258A9" w:rsidP="004258A9">
      <w:pPr>
        <w:spacing w:line="36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4258A9">
        <w:rPr>
          <w:rFonts w:ascii="Times New Roman" w:hAnsi="Times New Roman" w:cs="Times New Roman"/>
          <w:b/>
          <w:lang w:val="en-US"/>
        </w:rPr>
        <w:t>Figure 1.</w:t>
      </w:r>
      <w:r w:rsidRPr="004258A9">
        <w:rPr>
          <w:rFonts w:ascii="Times New Roman" w:hAnsi="Times New Roman" w:cs="Times New Roman"/>
          <w:lang w:val="en-US"/>
        </w:rPr>
        <w:t xml:space="preserve"> Adaptation to meal consumption-induced stress and dysmetabolism (Margioris, 2009)</w:t>
      </w:r>
    </w:p>
    <w:p w:rsidR="004258A9" w:rsidRPr="004258A9" w:rsidRDefault="004258A9" w:rsidP="004258A9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lang w:val="en-US"/>
        </w:rPr>
      </w:pPr>
    </w:p>
    <w:p w:rsidR="004258A9" w:rsidRDefault="004258A9" w:rsidP="004258A9">
      <w:pPr>
        <w:rPr>
          <w:sz w:val="20"/>
          <w:lang w:val="en-US"/>
        </w:rPr>
      </w:pPr>
    </w:p>
    <w:p w:rsidR="004258A9" w:rsidRDefault="004258A9" w:rsidP="004258A9">
      <w:pPr>
        <w:jc w:val="center"/>
        <w:rPr>
          <w:sz w:val="20"/>
          <w:lang w:val="en-US"/>
        </w:rPr>
      </w:pPr>
    </w:p>
    <w:p w:rsidR="004258A9" w:rsidRDefault="004258A9" w:rsidP="004258A9">
      <w:pPr>
        <w:spacing w:line="360" w:lineRule="auto"/>
        <w:jc w:val="both"/>
        <w:rPr>
          <w:b/>
        </w:rPr>
      </w:pPr>
    </w:p>
    <w:p w:rsidR="004258A9" w:rsidRDefault="004258A9"/>
    <w:p w:rsidR="00394E8F" w:rsidRDefault="00394E8F" w:rsidP="002A6D13"/>
    <w:p w:rsidR="00394E8F" w:rsidRDefault="00394E8F" w:rsidP="002A6D13"/>
    <w:sectPr w:rsidR="00394E8F" w:rsidSect="0039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D4" w:rsidRDefault="002331D4" w:rsidP="00394E8F">
      <w:pPr>
        <w:spacing w:after="0" w:line="240" w:lineRule="auto"/>
      </w:pPr>
      <w:r>
        <w:separator/>
      </w:r>
    </w:p>
  </w:endnote>
  <w:endnote w:type="continuationSeparator" w:id="0">
    <w:p w:rsidR="002331D4" w:rsidRDefault="002331D4" w:rsidP="0039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D4" w:rsidRDefault="002331D4" w:rsidP="00394E8F">
      <w:pPr>
        <w:spacing w:after="0" w:line="240" w:lineRule="auto"/>
      </w:pPr>
      <w:r>
        <w:separator/>
      </w:r>
    </w:p>
  </w:footnote>
  <w:footnote w:type="continuationSeparator" w:id="0">
    <w:p w:rsidR="002331D4" w:rsidRDefault="002331D4" w:rsidP="0039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F5D"/>
    <w:multiLevelType w:val="multilevel"/>
    <w:tmpl w:val="0B564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56"/>
    <w:rsid w:val="000042AA"/>
    <w:rsid w:val="00022B00"/>
    <w:rsid w:val="00055AE4"/>
    <w:rsid w:val="000A1060"/>
    <w:rsid w:val="000A1356"/>
    <w:rsid w:val="000A1B18"/>
    <w:rsid w:val="000A7C32"/>
    <w:rsid w:val="000F4169"/>
    <w:rsid w:val="00110D64"/>
    <w:rsid w:val="001475BD"/>
    <w:rsid w:val="00156ADE"/>
    <w:rsid w:val="00167015"/>
    <w:rsid w:val="001722A2"/>
    <w:rsid w:val="00224142"/>
    <w:rsid w:val="002331D4"/>
    <w:rsid w:val="002A6D13"/>
    <w:rsid w:val="002E5AA2"/>
    <w:rsid w:val="00361EA8"/>
    <w:rsid w:val="00365C28"/>
    <w:rsid w:val="00394E8F"/>
    <w:rsid w:val="003C0E70"/>
    <w:rsid w:val="004258A9"/>
    <w:rsid w:val="00425F69"/>
    <w:rsid w:val="00556204"/>
    <w:rsid w:val="00575FFF"/>
    <w:rsid w:val="00655AAF"/>
    <w:rsid w:val="00761CE8"/>
    <w:rsid w:val="009105B8"/>
    <w:rsid w:val="00932820"/>
    <w:rsid w:val="00A11752"/>
    <w:rsid w:val="00A21D4A"/>
    <w:rsid w:val="00A24A71"/>
    <w:rsid w:val="00AA5E48"/>
    <w:rsid w:val="00B205D4"/>
    <w:rsid w:val="00B36895"/>
    <w:rsid w:val="00B41FFC"/>
    <w:rsid w:val="00C25FC1"/>
    <w:rsid w:val="00C65000"/>
    <w:rsid w:val="00CD0244"/>
    <w:rsid w:val="00D11F13"/>
    <w:rsid w:val="00DA7DFA"/>
    <w:rsid w:val="00E2291B"/>
    <w:rsid w:val="00E63253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6C2C"/>
  <w15:chartTrackingRefBased/>
  <w15:docId w15:val="{06493F6D-54D4-4BCA-BBCC-4EAF482E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94E8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4E8F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94E8F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9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E8F"/>
  </w:style>
  <w:style w:type="table" w:styleId="TabloKlavuzu">
    <w:name w:val="Table Grid"/>
    <w:basedOn w:val="NormalTablo"/>
    <w:uiPriority w:val="39"/>
    <w:rsid w:val="0042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gu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Gazi-1926</cp:lastModifiedBy>
  <cp:revision>3</cp:revision>
  <dcterms:created xsi:type="dcterms:W3CDTF">2025-05-30T11:46:00Z</dcterms:created>
  <dcterms:modified xsi:type="dcterms:W3CDTF">2025-05-30T11:48:00Z</dcterms:modified>
</cp:coreProperties>
</file>