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spacing w:after="170"/>
        <w:jc w:val="center"/>
      </w:pPr>
      <w:r>
        <w:t xml:space="preserve">İÇİNDEKİLER</w:t>
      </w:r>
    </w:p>
    <w:sdt>
      <w:sdtPr>
        <w:alias w:val="Summary"/>
      </w:sdtPr>
      <w:sdtContent>
        <w:p>
          <w:r>
            <w:fldChar w:fldCharType="begin" w:dirty="true"/>
            <w:instrText xml:space="preserve">TOC \h \o "1-5" \t "MySpectacularStyle,1"</w:instrText>
            <w:fldChar w:fldCharType="separate"/>
          </w:r>
        </w:p>
        <w:p>
          <w:r>
            <w:fldChar w:fldCharType="end"/>
          </w:r>
        </w:p>
      </w:sdtContent>
    </w:sdt>
    <w:p>
      <w:pPr>
        <w:pStyle w:val="Heading1"/>
        <w:spacing w:before="200" w:after="170"/>
        <w:jc w:val="center"/>
      </w:pPr>
      <w:r>
        <w:t xml:space="preserve">Temel ve Mühendislik Bilimleri Merkez Laboratuvarı Uygulama ve Araştırma Merkezi</w:t>
      </w:r>
    </w:p>
    <w:p>
      <w:pPr>
        <w:pStyle w:val="Heading2"/>
        <w:spacing w:before="160" w:after="120"/>
        <w:jc w:val="center"/>
      </w:pPr>
      <w:r>
        <w:t xml:space="preserve">BİRİM HAKKINDA BİLGİLER</w:t>
      </w:r>
    </w:p>
    <w:p>
      <w:pPr>
        <w:jc w:val="both"/>
      </w:pPr>
      <w:r>
        <w:t xml:space="preserve">Bu bölümde, ilgili birimin tarihsel gelişimi, misyonu, vizyonu, değerleri, hedefleri, organizasyon yapısı, yürütülen süreçler ve iyileştirme alanları hakkında bilgi verilmelidir.</w:t>
      </w:r>
      <w:r>
        <w:br/>
      </w:r>
      <w:r>
        <w:t xml:space="preserve">GÜKK’nin rapor değerlendirme sürecinde iletişim kuracağı, birim kalite ekip başkanı ve ilgili birim yöneticisinin iletişim bilgileri (isim, adres, telefon, e-posta vb.) verilmelidir.</w:t>
      </w:r>
      <w:r>
        <w:br/>
      </w:r>
    </w:p>
    <w:p>
      <w:pPr>
        <w:pStyle w:val="Heading3"/>
        <w:spacing w:before="160" w:after="120"/>
        <w:jc w:val="left"/>
      </w:pPr>
      <w:r>
        <w:t xml:space="preserve">Birim Yöneticisi</w:t>
      </w:r>
    </w:p>
    <w:p>
      <w:r>
        <w:t xml:space="preserve">Prof. Dr. Sema BİLGE OCAK</w:t>
      </w:r>
    </w:p>
    <w:p>
      <w:pPr>
        <w:pStyle w:val="Heading3"/>
        <w:spacing w:before="160" w:after="120"/>
        <w:jc w:val="left"/>
      </w:pPr>
      <w:r>
        <w:t xml:space="preserve">Birim Kalite Ekip Başkanı</w:t>
      </w:r>
    </w:p>
    <w:p>
      <w:r>
        <w:t xml:space="preserve">Prof. Dr. Sema BİLGE OCAK</w:t>
      </w:r>
    </w:p>
    <w:p>
      <w:pPr>
        <w:pStyle w:val="Heading3"/>
        <w:spacing w:before="160" w:after="120"/>
        <w:jc w:val="left"/>
      </w:pPr>
      <w:r>
        <w:t xml:space="preserve">Birim Adresi</w:t>
      </w:r>
    </w:p>
    <w:p>
      <w:r>
        <w:t xml:space="preserve">GÜTMAM</w:t>
      </w:r>
    </w:p>
    <w:p>
      <w:pPr>
        <w:pStyle w:val="Heading2"/>
        <w:spacing w:before="160" w:after="120"/>
        <w:jc w:val="center"/>
      </w:pPr>
      <w:r>
        <w:t xml:space="preserve">A.1.1. Yönetişim Modeli ve İdari Yapı</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Birimdeki yönetişim modeli ve idari yapı (yasal düzenlemeler çerçevesinde kurumsal yaklaşım, gelenekler, tercihler); karar verme mekanizmaları, kontrol ve denge unsurları; kurulların çok sesliliği ve bağımsız hareket kabiliyeti, paydaşların temsil edilmesi; öngörülen yönetişim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A.1.2. Liderlik</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Birimde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w:t>
      </w:r>
    </w:p>
    <w:p>
      <w:pPr>
        <w:pStyle w:val="ListParagraph"/>
        <w:numPr>
          <w:ilvl w:val="0"/>
          <w:numId w:val="1"/>
        </w:numPr>
        <w:jc w:val="both"/>
      </w:pPr>
      <w:r>
        <w:t xml:space="preserve">Birimlerde liderlik anlayışı ve koordinasyon kültürü yerleşmiştir. Liderler birimin değerleri ve hedefleri doğrultusunda stratejilerinin yanı sıra; yetki paylaşımını, ilişkileri, zamanı, kurumsal motivasyon ve stresi de etkin ve dengeli biçimde yönetmektedir.</w:t>
      </w:r>
    </w:p>
    <w:p>
      <w:pPr>
        <w:pStyle w:val="ListParagraph"/>
        <w:numPr>
          <w:ilvl w:val="0"/>
          <w:numId w:val="1"/>
        </w:numPr>
        <w:jc w:val="both"/>
      </w:pPr>
      <w:r>
        <w:t xml:space="preserve">Akademik ve idari birimler ile yönetim arasında etkin bir iletişim ağı oluşturulmuştur.</w:t>
      </w:r>
    </w:p>
    <w:p>
      <w:pPr>
        <w:pStyle w:val="ListParagraph"/>
        <w:numPr>
          <w:ilvl w:val="0"/>
          <w:numId w:val="1"/>
        </w:numPr>
        <w:jc w:val="both"/>
      </w:pPr>
      <w:r>
        <w:t xml:space="preserve">Liderlik süreçleri ve kalite güvencesi kültürünün içselleştirilmesi sürekli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rPr>
          <w:b/>
          <w:bCs/>
          <w:i w:val="false"/>
          <w:iCs w:val="false"/>
        </w:rPr>
        <w:t xml:space="preserve">Her bir süreç için planlama, uygulama, kontrol etme ve önlem alma faaliyetleri özlüce açıklanmalıdır.</w:t>
      </w:r>
    </w:p>
    <w:p>
      <w:pPr>
        <w:pStyle w:val="ListParagraph"/>
        <w:numPr>
          <w:ilvl w:val="0"/>
          <w:numId w:val="1"/>
        </w:numPr>
        <w:jc w:val="both"/>
      </w:pPr>
      <w:r>
        <w:rPr>
          <w:b/>
          <w:bCs/>
          <w:i w:val="false"/>
          <w:iCs w:val="false"/>
        </w:rP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A.1.3. Kurumsal Dönüşüm Kapasitesi</w:t>
      </w:r>
    </w:p>
    <w:p>
      <w:pPr>
        <w:jc w:val="both"/>
      </w:pPr>
      <w:r>
        <w:rPr>
          <w:b/>
          <w:bCs/>
          <w:i w:val="false"/>
          <w:iCs w:val="false"/>
          <w:u w:val="single" w:color="000000"/>
        </w:rPr>
        <w:t xml:space="preserve">Gereklilikler</w:t>
      </w:r>
      <w:r>
        <w:br/>
      </w:r>
    </w:p>
    <w:p>
      <w:pPr>
        <w:pStyle w:val="ListParagraph"/>
        <w:numPr>
          <w:ilvl w:val="0"/>
          <w:numId w:val="1"/>
        </w:numPr>
        <w:jc w:val="both"/>
      </w:pPr>
      <w:r>
        <w:t xml:space="preserve">Yükseköğretim ekosistemi içerisindeki değişimleri, küresel eğilimleri, ulusal hedefleri ve paydaş beklentilerini dikkate alarak birimin geleceğe hazır olmasını sağlayan çevik yönetim yetkinliği vardır.</w:t>
      </w:r>
    </w:p>
    <w:p>
      <w:pPr>
        <w:pStyle w:val="ListParagraph"/>
        <w:numPr>
          <w:ilvl w:val="0"/>
          <w:numId w:val="1"/>
        </w:numPr>
        <w:jc w:val="both"/>
      </w:pPr>
      <w:r>
        <w:t xml:space="preserve">Geleceğe uyum için amaç, misyon ve hedefler doğrultusunda birimi dönüştürmek üzere değişim yönetimi, kıyaslama, yenilik yönetimi gibi yaklaşımları kullanır ve kurumsal özgünlüğü güçlendirir.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GÜKK BİDR-2022’de belirtildiği gibi geleceğe uyum için amaç, misyon ve hedefler doğrultusunda birim stratejik planı bulunmakta olup birim web sayfasında ilan edilmiştir ((2) A.1.3.1) (TK 2024/33)</w:t>
      </w:r>
      <w:r>
        <w:br/>
      </w:r>
      <w:r>
        <w:br/>
      </w:r>
    </w:p>
    <w:p>
      <w:pPr>
        <w:pStyle w:val="Heading3"/>
        <w:spacing w:before="160" w:after="120"/>
        <w:jc w:val="left"/>
      </w:pPr>
      <w:r>
        <w:t xml:space="preserve">Olgunluk Düzeyi (Rubrik Dereceli Derecelendirme Puanı)</w:t>
      </w:r>
    </w:p>
    <w:p>
      <w:r>
        <w:t xml:space="preserve">2</w:t>
      </w:r>
    </w:p>
    <w:p>
      <w:pPr>
        <w:pStyle w:val="Heading2"/>
        <w:spacing w:before="160" w:after="120"/>
        <w:jc w:val="center"/>
      </w:pPr>
      <w:r>
        <w:t xml:space="preserve">A.1.4. İç Kalite Güvencesi Mekanizmaları</w:t>
      </w:r>
    </w:p>
    <w:p>
      <w:pPr>
        <w:jc w:val="both"/>
      </w:pPr>
      <w:r>
        <w:rPr>
          <w:b/>
          <w:bCs/>
          <w:i w:val="false"/>
          <w:iCs w:val="false"/>
          <w:u w:val="single" w:color="000000"/>
        </w:rPr>
        <w:t xml:space="preserve">Gereklilikler</w:t>
      </w:r>
      <w:r>
        <w:br/>
      </w:r>
    </w:p>
    <w:p>
      <w:pPr>
        <w:pStyle w:val="ListParagraph"/>
        <w:numPr>
          <w:ilvl w:val="0"/>
          <w:numId w:val="1"/>
        </w:numPr>
        <w:jc w:val="both"/>
      </w:pPr>
      <w:r>
        <w:t xml:space="preserve">PUKÖ çevrimleri itibarı ile takvim yılı temelinde hangi işlem, süreç, mekanizmaların devreye gireceği planlanmış, akış şemaları belirlidir. Sorumluluklar ve yetkiler tanımlanmıştır. Gerçekleşen uygulamalar değerlendirilmektedir.</w:t>
      </w:r>
    </w:p>
    <w:p>
      <w:pPr>
        <w:pStyle w:val="ListParagraph"/>
        <w:numPr>
          <w:ilvl w:val="0"/>
          <w:numId w:val="1"/>
        </w:numPr>
        <w:jc w:val="both"/>
      </w:pPr>
      <w:r>
        <w:t xml:space="preserve">Takvim yılı temelinde tasarlanmayan diğer kalite döngülerinin ise tüm katmanları içerdiği kanıtları ile belirtilmiştir, gerçekleşen uygulamalar değerlendirilmektedir.</w:t>
      </w:r>
    </w:p>
    <w:p>
      <w:pPr>
        <w:pStyle w:val="ListParagraph"/>
        <w:numPr>
          <w:ilvl w:val="0"/>
          <w:numId w:val="1"/>
        </w:numPr>
        <w:jc w:val="both"/>
      </w:pPr>
      <w:r>
        <w:t xml:space="preserve">Birime ait kalite güvencesi rehberi gibi, politika ayrıntılarının yer aldığı erişilebilen ve güncellenen bir doküman bulunmaktadır.</w:t>
      </w:r>
    </w:p>
    <w:p>
      <w:pPr>
        <w:pStyle w:val="ListParagraph"/>
        <w:numPr>
          <w:ilvl w:val="0"/>
          <w:numId w:val="1"/>
        </w:numPr>
        <w:jc w:val="both"/>
      </w:pPr>
      <w:r>
        <w:t xml:space="preserve">Birim Kalite Ekiplerinin süreç ve uygulamaları tanımlıdır, kurum çalışanlarınca bilinir. Ekip, iç kalite güvencesi sisteminin oluşturulması ve geliştirilmesinde etkin rol alır, program akreditasyonu süreçlerine destek verir. Ekip gerçekleştirilen etkinliklerin sonuçlarını değerlendirir. Bu değerlendirmeler karar alma mekanizmalarını etkiler.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Kalite sisteminin bir parçası olarak birimin sahip olduğu MerLab Yönetim Sistemi üzerinden Memnuniyet Anketi oluşturulmuştur. PUKÖ çevrimleri itibarı ile takvim yılı temelinde hangi işlem, süreç, mekanizmaların devreye gireceği planlanmış, akış şemaları belirlenmiş, Sorumluluklar ve yetkiler tanımlanmıştır. Hassas görevler belirlenmiş görev dağılımları yapılarak birim web sayfasında yayınlanmıştır.</w:t>
      </w:r>
      <w:r>
        <w:br/>
      </w:r>
      <w:r>
        <w:rPr>
          <w:b/>
          <w:bCs/>
          <w:i/>
          <w:iCs/>
        </w:rPr>
        <w:t xml:space="preserve">((3) A.1.4.1, (3) A.1.4.2, (3) A.1.4.3, (3) A.1.4.4, (3) A.1.4.5, (3) A.1.4.6) (LYK 2024/43) (TK 2024/33).</w:t>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A.1.5. Kamuoyunu Bilgilendirme ve Hesap Verebilirlik</w:t>
      </w:r>
    </w:p>
    <w:p>
      <w:pPr>
        <w:jc w:val="both"/>
      </w:pPr>
      <w:r>
        <w:rPr>
          <w:b/>
          <w:bCs/>
          <w:i w:val="false"/>
          <w:iCs w:val="false"/>
          <w:u w:val="single" w:color="000000"/>
        </w:rPr>
        <w:t xml:space="preserve">Gereklilikler</w:t>
      </w:r>
      <w:r>
        <w:br/>
      </w:r>
    </w:p>
    <w:p>
      <w:pPr>
        <w:pStyle w:val="ListParagraph"/>
        <w:numPr>
          <w:ilvl w:val="0"/>
          <w:numId w:val="1"/>
        </w:numPr>
        <w:jc w:val="both"/>
      </w:pPr>
      <w:r>
        <w:t xml:space="preserve">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 özerklik ile hesap verebilirlik kavramlarının birbirini tamamladığına ilişkin bulgular mevcuttur.</w:t>
      </w:r>
    </w:p>
    <w:p>
      <w:pPr>
        <w:pStyle w:val="ListParagraph"/>
        <w:numPr>
          <w:ilvl w:val="0"/>
          <w:numId w:val="1"/>
        </w:numPr>
        <w:jc w:val="both"/>
      </w:pPr>
      <w:r>
        <w:t xml:space="preserve">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kurumu kuruluşları, sivil toplum kuruluşları, sanayi ve yerel halk ile ilişkileri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Birimimizle ilgili gelişmeler kamuoyunu bilgilendirme ve hesap verilebilirlik kapsamında web sayfasında Faaliyet Raporu, Stratejik Plan ve Birim İç Değerlendirme Raporu şeklinde güncel olarak duyurulmaktadır ((3) A.1.5.1) (TK 2024/33).</w:t>
      </w:r>
      <w:r>
        <w:br/>
      </w:r>
      <w:r>
        <w:br/>
      </w:r>
      <w:r>
        <w:t xml:space="preserve">?</w:t>
      </w:r>
      <w:r>
        <w:rPr>
          <w:b/>
          <w:bCs/>
          <w:i/>
          <w:iCs/>
        </w:rPr>
        <w:t xml:space="preserve">GÜKK BİDR 2022’de planlandığı gibi MerLab Yönetim Sistemi’ne giriş linki üniversitemiz web sayfasında e-Hizmetler sekmesi altında yerini alarak daha kolay ulaşılabilir hale getirilmiştir ((3) A.1.5.2) (TK 2024/33).</w:t>
      </w:r>
      <w:r>
        <w:br/>
      </w:r>
      <w:r>
        <w:t xml:space="preserve">?</w:t>
      </w:r>
      <w:r>
        <w:rPr>
          <w:b/>
          <w:bCs/>
          <w:i/>
          <w:iCs/>
        </w:rPr>
        <w:t xml:space="preserve">Birimimize ait sosyal medya hesapları oluşturulmuş olup, birimimizin web sitesinde duyurulmuştur ((3) A.1.5.3) (TK 2024/33).</w:t>
      </w:r>
      <w:r>
        <w:br/>
      </w:r>
      <w:r>
        <w:t xml:space="preserve">?</w:t>
      </w:r>
      <w:r>
        <w:rPr>
          <w:b/>
          <w:bCs/>
          <w:i/>
          <w:iCs/>
        </w:rPr>
        <w:t xml:space="preserve">GÜTMAM Üniversitemiz web sayfasında Araştırma / Uygulama ve Araştırma Merkezileri Sekmesi altında yerini alarak daha kolay ulaşılabilir hale gelmiştir</w:t>
      </w:r>
      <w:r>
        <w:br/>
      </w:r>
      <w:r>
        <w:rPr>
          <w:b/>
          <w:bCs/>
          <w:i/>
          <w:iCs/>
        </w:rPr>
        <w:t xml:space="preserve">((3) A.1.5.4.) (TK 2024/33).</w:t>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A.2.1. Misyon, Vizyon ve Politikalar</w:t>
      </w:r>
    </w:p>
    <w:p>
      <w:pPr>
        <w:jc w:val="both"/>
      </w:pPr>
      <w:r>
        <w:rPr>
          <w:b/>
          <w:bCs/>
          <w:i w:val="false"/>
          <w:iCs w:val="false"/>
          <w:u w:val="single" w:color="000000"/>
        </w:rPr>
        <w:t xml:space="preserve">Gereklilikler</w:t>
      </w:r>
      <w:r>
        <w:br/>
      </w:r>
    </w:p>
    <w:p>
      <w:pPr>
        <w:pStyle w:val="ListParagraph"/>
        <w:numPr>
          <w:ilvl w:val="0"/>
          <w:numId w:val="1"/>
        </w:numPr>
        <w:jc w:val="both"/>
      </w:pPr>
      <w:r>
        <w:t xml:space="preserve">Misyon ve vizyon ifadesi tanımlanmıştır, birim çalışanlarınca bilinir ve paylaşılır. Birime özeldir, sürdürülebilir bir gelecek yaratmak için yol göstericidir.</w:t>
      </w:r>
    </w:p>
    <w:p>
      <w:pPr>
        <w:pStyle w:val="ListParagraph"/>
        <w:numPr>
          <w:ilvl w:val="0"/>
          <w:numId w:val="1"/>
        </w:numPr>
        <w:jc w:val="both"/>
      </w:pPr>
      <w: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w:t>
      </w:r>
    </w:p>
    <w:p>
      <w:pPr>
        <w:pStyle w:val="ListParagraph"/>
        <w:numPr>
          <w:ilvl w:val="0"/>
          <w:numId w:val="1"/>
        </w:numPr>
        <w:jc w:val="both"/>
      </w:pPr>
      <w:r>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A.2.2. Stratejik Amaç ve Hedefler</w:t>
      </w:r>
    </w:p>
    <w:p>
      <w:pPr>
        <w:jc w:val="both"/>
      </w:pPr>
      <w:r>
        <w:rPr>
          <w:b/>
          <w:bCs/>
          <w:i w:val="false"/>
          <w:iCs w:val="false"/>
          <w:u w:val="single" w:color="000000"/>
        </w:rPr>
        <w:t xml:space="preserve">Gereklilikler</w:t>
      </w:r>
      <w:r>
        <w:br/>
      </w:r>
    </w:p>
    <w:p>
      <w:pPr>
        <w:pStyle w:val="ListParagraph"/>
        <w:numPr>
          <w:ilvl w:val="0"/>
          <w:numId w:val="1"/>
        </w:numPr>
        <w:jc w:val="both"/>
      </w:pPr>
      <w:r>
        <w:t xml:space="preserve">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Stratejik amaçlar GÜKK BİDR 2022’de de belirtildiği gibi merkezimize ait 2024-2028 Stratejik Planında Stratejik Amaç-1 ve Stratejik Amaç-2 başlıklarında (Syf 8- 9) belirtilmiştir ve Stratejik plan birim web sayfasında paylaşılmıştır ((2) A.2.2.1) (TK 2024/33))</w:t>
      </w:r>
      <w:r>
        <w:br/>
      </w:r>
      <w:r>
        <w:t xml:space="preserve">?</w:t>
      </w:r>
      <w:r>
        <w:rPr>
          <w:b/>
          <w:bCs/>
          <w:i/>
          <w:iCs/>
        </w:rPr>
        <w:t xml:space="preserve">2024-2028 Stratejik Plan taslağı Danışma Kurulu ile paylaşılarak fikirleri alınmıştır. ((2) A.2.2.2.) (LYK 2024/42) (LYK-S 2024/151) (AG 2024/87).</w:t>
      </w:r>
      <w:r>
        <w:br/>
      </w:r>
      <w:r>
        <w:br/>
      </w:r>
    </w:p>
    <w:p>
      <w:pPr>
        <w:pStyle w:val="Heading3"/>
        <w:spacing w:before="160" w:after="120"/>
        <w:jc w:val="left"/>
      </w:pPr>
      <w:r>
        <w:t xml:space="preserve">Olgunluk Düzeyi (Rubrik Dereceli Derecelendirme Puanı)</w:t>
      </w:r>
    </w:p>
    <w:p>
      <w:r>
        <w:t xml:space="preserve">2</w:t>
      </w:r>
    </w:p>
    <w:p>
      <w:pPr>
        <w:pStyle w:val="Heading2"/>
        <w:spacing w:before="160" w:after="120"/>
        <w:jc w:val="center"/>
      </w:pPr>
      <w:r>
        <w:t xml:space="preserve">A.2.3. Performans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Birimde performans yönetim sistemleri bütünsel bir yaklaşımla ele alınmaktadır. Bu sistemler birimin 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 sürdürülmektedir.</w:t>
      </w:r>
    </w:p>
    <w:p>
      <w:pPr>
        <w:pStyle w:val="ListParagraph"/>
        <w:numPr>
          <w:ilvl w:val="0"/>
          <w:numId w:val="1"/>
        </w:numPr>
        <w:jc w:val="both"/>
      </w:pPr>
      <w:r>
        <w:t xml:space="preserve">Tüm temel etkinlikleri kapsayan kurumsal (genel, anahtar, uzaktan eğitim vb.) performans göstergeleri tanımlanmış ve paylaşılmıştır.</w:t>
      </w:r>
    </w:p>
    <w:p>
      <w:pPr>
        <w:pStyle w:val="ListParagraph"/>
        <w:numPr>
          <w:ilvl w:val="0"/>
          <w:numId w:val="1"/>
        </w:numPr>
        <w:jc w:val="both"/>
      </w:pPr>
      <w:r>
        <w:t xml:space="preserve">Performans göstergelerinin iç kalite güvencesi sistemi ile nasıl ilişkilendirildiği tanımlanmış ve yazılıdır. Kararlara yansıma örnekleri mevcuttur.</w:t>
      </w:r>
    </w:p>
    <w:p>
      <w:pPr>
        <w:pStyle w:val="ListParagraph"/>
        <w:numPr>
          <w:ilvl w:val="0"/>
          <w:numId w:val="1"/>
        </w:numPr>
        <w:jc w:val="both"/>
      </w:pPr>
      <w:r>
        <w:t xml:space="preserve">Yıllar içinde nasıl değiştiği takip edilmektedir, bu izlemenin sonuçları yazılıdır ve gerektiği şekilde kullanıldığına dair kanıtlar mevcuttur.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Merkezimizin yürüteceği faaliyet alanları kapsamındaki stratejik amaç ve hedefler stratejik planda tanımlanmıştır ve stratejik plan birim web sayfasında yayınlanmıştır ((2) A.2.3.1) (TK 2024/33).</w:t>
      </w:r>
      <w:r>
        <w:br/>
      </w:r>
      <w:r>
        <w:t xml:space="preserve">?</w:t>
      </w:r>
      <w:r>
        <w:rPr>
          <w:b/>
          <w:bCs/>
          <w:i/>
          <w:iCs/>
        </w:rPr>
        <w:t xml:space="preserve">Tanımlanan tüm alanlarla ilişkili olarak performans göstergeleri yıllık faaliyet raporunda belirlenmiş ve internet sitemizde yayınlanmaktadır ((2) A.2.3.2)</w:t>
      </w:r>
      <w:r>
        <w:br/>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A.3.1. Bilgi Yönetim Sistemi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Birimin önemli etkinlikleri ve süreçlerine ilişkin veriler toplanmakta, analiz edilmekte, raporlanmakta ve stratejik yönetim için kullanılmaktadır. Akademik ve idari birimlerin kullandıkları Bilgi Yönetim Sistemi kalite yönetim süreçlerini beslemektedir. Bilgi Yönetim Sistemi güvenliği, gizliliği ve güvenilirliği sağlanmıştır.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GÜKK BİDR 2022’de MerLab Yönetim Sisteminin oluşturulduğu ve merkezimizin aktif hizmet verdiği bildirilmişti. Bu dönemde merkezimiz FE-SEM ve Gama Spektrometre cihazı ile Radyoaktivite Ölçüm ve Analizini de eklemiştir. ((4) A.3.1.1).</w:t>
      </w:r>
      <w:r>
        <w:br/>
      </w:r>
      <w:r>
        <w:t xml:space="preserve">?</w:t>
      </w:r>
      <w:r>
        <w:rPr>
          <w:b/>
          <w:bCs/>
          <w:i/>
          <w:iCs/>
        </w:rPr>
        <w:t xml:space="preserve">MerLab Yönetim Sistemi üzerinden kullanıcıya sunulan memnuniyet anketi, Rektörlük İletişim Merkezi (RİMER), MerLab Yönetim Sistemi Destek Merkezi ve Birim e-posta adresine gelen bildirim, şikayet ve öneriler doğrultusunda proforma, numune kabul, analiz ve sonuç gönderimi hakkında anında geri dönüş sağlanarak süreçler kontrol edilmektedir. ((4) A.3.1.2). ((4) A.3.1.3) (LYK 2024/18) (LYK-S 2024/151).</w:t>
      </w:r>
      <w:r>
        <w:br/>
      </w:r>
      <w:r>
        <w:t xml:space="preserve">?</w:t>
      </w:r>
      <w:r>
        <w:rPr>
          <w:b/>
          <w:bCs/>
          <w:i/>
          <w:iCs/>
        </w:rPr>
        <w:t xml:space="preserve">T.C. Sanayi ve Teknoloji Bakanlığı Labsis Portalında üniversitemiz bünyesinde hizmet veren laboratuvarlara ait 2022 veri bilgilerinin girişlerinin sağlanabilmesi için 2024 yılı içerisinde yürütülen çalışmaları kapsamaktadır (LYK 2024/108).</w:t>
      </w:r>
      <w:r>
        <w:br/>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A.3.2. İnsan Kaynakları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İnsan kaynakları yönetimine ilişkin kurallar ve süreçler bulunmaktadır. Şeffaf şekilde yürütülen bu süreçler birimde herkes tarafından bilinmektedir. Eğitim ve liyakat öncelikli kriter olup yetkinliklerin arttırılması temel hedeftir.</w:t>
      </w:r>
    </w:p>
    <w:p>
      <w:pPr>
        <w:pStyle w:val="ListParagraph"/>
        <w:numPr>
          <w:ilvl w:val="0"/>
          <w:numId w:val="1"/>
        </w:numPr>
        <w:jc w:val="both"/>
      </w:pPr>
      <w:r>
        <w:t xml:space="preserve">Çalışan (akademik-idari) memnuniyet, şikayet ve önerilerini belirlemek ve izlemek amacıyla geliştirilmiş olan yöntem ve mekanizmalar uygulanmakta ve sonuçları değerlendirilerek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w:t>
      </w:r>
      <w:r>
        <w:rPr>
          <w:b/>
          <w:bCs/>
          <w:i/>
          <w:iCs/>
        </w:rPr>
        <w:t xml:space="preserve">GÜKK BİDR 2022’de belirtildiği gibi Merkezin akademik, teknik ve idari personel ihtiyacı 2547 sayılı Kanunun 13’üncü maddesine göre Rektör tarafından görevlendirilecek personel tarafından karşılanmaktadır ve personellerin görev tanımları belirlenmiş olup birim web sitesinde duyurulmuştur (TK 2024/33).</w:t>
      </w:r>
      <w:r>
        <w:br/>
      </w:r>
      <w:r>
        <w:t xml:space="preserve">?</w:t>
      </w:r>
      <w:r>
        <w:rPr>
          <w:b/>
          <w:bCs/>
          <w:i/>
          <w:iCs/>
        </w:rPr>
        <w:t xml:space="preserve">2024 yılında Numune Kabul Sorumlusu olarak Lab. Emine TÜRKMEN görevlendirilmiştir ((3) A.3.2.1).</w:t>
      </w:r>
      <w:r>
        <w:br/>
      </w:r>
      <w:r>
        <w:t xml:space="preserve">?</w:t>
      </w:r>
      <w:r>
        <w:rPr>
          <w:b/>
          <w:bCs/>
          <w:i/>
          <w:iCs/>
        </w:rPr>
        <w:t xml:space="preserve">2024 yılında Elementel Analiz Laboratuvarı Sorumlusu olarak Dr.Öğr.Üyesi Elif YILMAZ görevlendirilmiştir.</w:t>
      </w:r>
      <w:r>
        <w:br/>
      </w:r>
      <w:r>
        <w:t xml:space="preserve">?</w:t>
      </w:r>
      <w:r>
        <w:rPr>
          <w:i/>
          <w:iCs/>
        </w:rPr>
        <w:t xml:space="preserve">Sürekli işçi Gülay SAYGILI Destek Personeli olarak görevlendirmesi yapılmıştır ((3) A.3.2.3.).</w:t>
      </w:r>
      <w:r>
        <w:br/>
      </w:r>
      <w:r>
        <w:t xml:space="preserve">?</w:t>
      </w:r>
      <w:r>
        <w:rPr>
          <w:i/>
          <w:iCs/>
        </w:rPr>
        <w:t xml:space="preserve">2024 yılında Merkezimizde 5 Kısmi Zamanlı Öğrenci görevlendirmesi yapılmıştır. ((3) A.3.2.4).</w:t>
      </w:r>
      <w:r>
        <w:br/>
      </w:r>
      <w:r>
        <w:t xml:space="preserve">?</w:t>
      </w:r>
      <w:r>
        <w:rPr>
          <w:i/>
          <w:iCs/>
        </w:rPr>
        <w:t xml:space="preserve">Merkez personellerinin yetkinliğinin geliştirilmesi için FE-SEM ve BET cihazının kullanımı hakkında eğitim düzenlenmiştir ((3) A.3.2.5).</w:t>
      </w:r>
      <w:r>
        <w:br/>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A.3.3. Finansal Yönetim</w:t>
      </w:r>
    </w:p>
    <w:p>
      <w:pPr>
        <w:jc w:val="both"/>
      </w:pPr>
      <w:r>
        <w:rPr>
          <w:b/>
          <w:bCs/>
          <w:i w:val="false"/>
          <w:iCs w:val="false"/>
          <w:u w:val="single" w:color="000000"/>
        </w:rPr>
        <w:t xml:space="preserve">Gereklilikler</w:t>
      </w:r>
      <w:r>
        <w:br/>
      </w:r>
    </w:p>
    <w:p>
      <w:pPr>
        <w:pStyle w:val="ListParagraph"/>
        <w:numPr>
          <w:ilvl w:val="0"/>
          <w:numId w:val="1"/>
        </w:numPr>
        <w:jc w:val="both"/>
      </w:pPr>
      <w:r>
        <w:t xml:space="preserve">Temel gelir ve gider kalemleri tanımlanmıştır ve yıllar içinde izlenmektedir.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T.C. Cumhurbaşkanlığı Strateji ve Bütçe Başkanlığınca desteklenen Merkezi Araştırma Laboratuvarı isimli proje birimimizin temel gelirini oluşturmaktadır ((3) A.3.3.1.).</w:t>
      </w:r>
      <w:r>
        <w:br/>
      </w:r>
      <w:r>
        <w:t xml:space="preserve">?</w:t>
      </w:r>
      <w:r>
        <w:rPr>
          <w:b/>
          <w:bCs/>
          <w:i/>
          <w:iCs/>
        </w:rPr>
        <w:t xml:space="preserve">2024 yılı kapsamında işletmeye alınan FE-SEM ve Gama Spektrometresi cihazları ve 2023 yılında rutin hizmete başlayan NMR cihazı ile gerçekleştirilen rutin analizlerden elde edilen gelirler mevcuttur. ((3) A.3.3.2.).</w:t>
      </w:r>
      <w:r>
        <w:br/>
      </w:r>
      <w:r>
        <w:t xml:space="preserve">?</w:t>
      </w:r>
      <w:r>
        <w:rPr>
          <w:b/>
          <w:bCs/>
          <w:i/>
          <w:iCs/>
        </w:rPr>
        <w:t xml:space="preserve">Cihaz alımları, cihazlar için temel sarf malzemeler vb. temel gider kalemlerini oluşturmaktadır. Detayları, her yıl Faaliyet Raporunda sunularak web sayfasında düzenli olarak ilan edilmektedir. ((3) A.3.3.3.).</w:t>
      </w:r>
      <w:r>
        <w:br/>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A.3.4. Süreç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Tüm etkinliklere ait süreçler ve alt süreçler (uzaktan eğitim dahil) tanımlıdır. Süreçlerdeki sorumlular, iş akışı, yönetim, sahiplenme yazılıdır ve birimce içselleştirilmiştir. Süreç yönetiminin başarılı olduğunun kanıtları vardır. Sürekli süreç iyileştirme döngüsü kurulmuştur.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w:t>
      </w:r>
      <w:r>
        <w:rPr>
          <w:b/>
          <w:bCs/>
          <w:i/>
          <w:iCs/>
        </w:rPr>
        <w:t xml:space="preserve">GÜKK BİDR 2022’de belirtildiği gibi merkezimizde faaliyetler Merkez Yönetmeliği ((2) A.3.4.1.) esas alınarak, Yönetim Kurulu ((2) A.3.4.2.) kararları da göz önünde bulundurularak yürütülmektedir.</w:t>
      </w:r>
      <w:r>
        <w:br/>
      </w:r>
      <w:r>
        <w:t xml:space="preserve">?</w:t>
      </w:r>
      <w:r>
        <w:rPr>
          <w:b/>
          <w:bCs/>
          <w:i/>
          <w:iCs/>
        </w:rPr>
        <w:t xml:space="preserve">Merkezimizde hizmete açık laboratuvarlar başta olmak üzere tüm süreçlere ait iş akış şemaları ((2) A.3.4.3), görev dağılımları ((2) A.3.4.4) ve hassas görev tanımları yapılmış ve web sayfasında ilan edilmiştir (TK 2024/33)</w:t>
      </w:r>
      <w:r>
        <w:br/>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A.4.1. İç ve Dış Paydaş Katılımı</w:t>
      </w:r>
    </w:p>
    <w:p>
      <w:pPr>
        <w:jc w:val="both"/>
      </w:pPr>
      <w:r>
        <w:rPr>
          <w:b/>
          <w:bCs/>
          <w:i w:val="false"/>
          <w:iCs w:val="false"/>
          <w:u w:val="single" w:color="000000"/>
        </w:rPr>
        <w:t xml:space="preserve">Gereklilikler</w:t>
      </w:r>
      <w:r>
        <w:br/>
      </w:r>
    </w:p>
    <w:p>
      <w:pPr>
        <w:pStyle w:val="ListParagraph"/>
        <w:numPr>
          <w:ilvl w:val="0"/>
          <w:numId w:val="1"/>
        </w:numPr>
        <w:jc w:val="both"/>
      </w:pPr>
      <w:r>
        <w:t xml:space="preserve">İç ve dış paydaşların karar alma, yönetişim ve iyileştirme süreçlerine katılım mekanizmaları tanımlanmıştır.</w:t>
      </w:r>
    </w:p>
    <w:p>
      <w:pPr>
        <w:pStyle w:val="ListParagraph"/>
        <w:numPr>
          <w:ilvl w:val="0"/>
          <w:numId w:val="1"/>
        </w:numPr>
        <w:jc w:val="both"/>
      </w:pPr>
      <w:r>
        <w:t xml:space="preserve">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Faaliyetler</w:t>
      </w:r>
      <w:r>
        <w:br/>
      </w:r>
      <w:r>
        <w:t xml:space="preserve">?</w:t>
      </w:r>
      <w:r>
        <w:rPr>
          <w:b/>
          <w:bCs/>
          <w:i/>
          <w:iCs/>
        </w:rPr>
        <w:t xml:space="preserve">Merkezimiz bünyesinde yapılan tüm faaliyetlerde iç ve dış paydaş katılımı esas alınmakta olup, ilgili kurullar ile yapılan toplantılar kayıt altına alınmaktadır ((3) A.4.1.1). Atanmış olan Danışma Kurulu üyeleri ile yönetim süreçlerine dış paydaş katılımı sağlanmıştır ((3) A.4.1.2., (3) A.4.1.3)). Birim Merkezi Laboratuvar Yönetim Sistemi üzerinden dış paydaşı olan müşterilerine vermiş olduğu hizmeti değerlendirmekte ve iyileştirme için gerekli adımların atılması hususunda ilgili birimler ile iletişim halindedir ((3) A.4.1.4) (LYK 2024/42) (LYK 2024/43) (LYK-S 2024/151) (LYK-S 2024/20) (AG 2024/87).</w:t>
      </w:r>
      <w:r>
        <w:br/>
      </w:r>
      <w:r>
        <w:t xml:space="preserve">?</w:t>
      </w:r>
      <w:r>
        <w:rPr>
          <w:b/>
          <w:bCs/>
          <w:i/>
          <w:iCs/>
        </w:rPr>
        <w:t xml:space="preserve">Birim Merkezi Laboratuvar Yönetim Sisteminde koordinatörlüğünü yapmaktadır. Bu kapsamda iç paydaşı olan Araştırma Uygulama Merkezleri ve Fakültelerin Merkezi Laboratuvar Yönetim Sistemi üzerinden vermiş olduğu hizmeti değerlendirmekte ve iyileştirme için gerekli adımların atılması hususunda ilgili birimler ile iletişim halindedir ((3) A.4.1.5).</w:t>
      </w:r>
      <w:r>
        <w:br/>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A.4.2. Öğrenci Geri Bildirimleri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A.4.3. Mezun İlişkileri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Mezunların işe yerleşme, eğitime devam, gelir düzeyi, işveren/ mezun memnuniyeti gibi istihdam bilgileri sistematik ve kapsamlı olarak toplanmakta, değerlendirilmekte, birim gelişme stratejilerinde kullanılmaktadır.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A.5.1. Uluslararasılaşma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Uluslararasılaşma süreçlerinin yönetimi ve organizasyonel yapısı kurumsallaşmıştır. Birimin uluslararasılaşma politikası ile uyumludur. Yönetim ve organizasyonel yapının işleyişi ve etkinliği irdelenmektedir.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A.5.2. Uluslararasılaşma Kaynakları</w:t>
      </w:r>
    </w:p>
    <w:p>
      <w:pPr>
        <w:jc w:val="both"/>
      </w:pPr>
      <w:r>
        <w:rPr>
          <w:b/>
          <w:bCs/>
          <w:i w:val="false"/>
          <w:iCs w:val="false"/>
          <w:u w:val="single" w:color="000000"/>
        </w:rPr>
        <w:t xml:space="preserve">Gereklilikler</w:t>
      </w:r>
      <w:r>
        <w:br/>
      </w:r>
    </w:p>
    <w:p>
      <w:pPr>
        <w:pStyle w:val="ListParagraph"/>
        <w:numPr>
          <w:ilvl w:val="0"/>
          <w:numId w:val="1"/>
        </w:numPr>
        <w:jc w:val="both"/>
      </w:pPr>
      <w:r>
        <w:t xml:space="preserve">Uluslararasılaşmaya ayrılan kaynaklar (mali, fiziksel, insan gücü) belirlenmiş, paylaşılmış, kurumsallaşmıştır. Bu kaynaklar nicelik ve nitelik bağlamında izlenmekte ve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A.5.3. Uluslararasılaşma Performansı</w:t>
      </w:r>
    </w:p>
    <w:p>
      <w:pPr>
        <w:jc w:val="both"/>
      </w:pPr>
      <w:r>
        <w:rPr>
          <w:b/>
          <w:bCs/>
          <w:i w:val="false"/>
          <w:iCs w:val="false"/>
          <w:u w:val="single" w:color="000000"/>
        </w:rPr>
        <w:t xml:space="preserve">Gereklilikler</w:t>
      </w:r>
      <w:r>
        <w:br/>
      </w:r>
    </w:p>
    <w:p>
      <w:pPr>
        <w:pStyle w:val="ListParagraph"/>
        <w:numPr>
          <w:ilvl w:val="0"/>
          <w:numId w:val="1"/>
        </w:numPr>
        <w:jc w:val="both"/>
      </w:pPr>
      <w:r>
        <w:t xml:space="preserve">Uluslararasılaşma performansı izlenmektedir. İzlenme mekanizma ve süreçleri yerleşiktir, sürdürülebilirdir, iyileştirme adımlarının kanıtları vardır.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B.1.1. Programların Tasarımı ve Onayı</w:t>
      </w:r>
    </w:p>
    <w:p>
      <w:pPr>
        <w:jc w:val="both"/>
      </w:pPr>
      <w:r>
        <w:rPr>
          <w:b/>
          <w:bCs/>
          <w:i w:val="false"/>
          <w:iCs w:val="false"/>
          <w:u w:val="single" w:color="000000"/>
        </w:rPr>
        <w:t xml:space="preserve">Gereklilikler</w:t>
      </w:r>
      <w:r>
        <w:br/>
      </w:r>
    </w:p>
    <w:p>
      <w:pPr>
        <w:pStyle w:val="ListParagraph"/>
        <w:numPr>
          <w:ilvl w:val="0"/>
          <w:numId w:val="1"/>
        </w:numPr>
        <w:jc w:val="both"/>
      </w:pPr>
      <w:r>
        <w:t xml:space="preserve">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birimin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B.1.2. Programın Ders Dağılım Dengesi</w:t>
      </w:r>
    </w:p>
    <w:p>
      <w:pPr>
        <w:jc w:val="both"/>
      </w:pPr>
      <w:r>
        <w:rPr>
          <w:b/>
          <w:bCs/>
          <w:i w:val="false"/>
          <w:iCs w:val="false"/>
          <w:u w:val="single" w:color="000000"/>
        </w:rPr>
        <w:t xml:space="preserve">Gereklilikler</w:t>
      </w:r>
      <w:r>
        <w:br/>
      </w:r>
    </w:p>
    <w:p>
      <w:pPr>
        <w:pStyle w:val="ListParagraph"/>
        <w:numPr>
          <w:ilvl w:val="0"/>
          <w:numId w:val="1"/>
        </w:numPr>
        <w:jc w:val="both"/>
      </w:pPr>
      <w:r>
        <w:t xml:space="preserve">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B.1.3. Ders Kazanımlarının Program Çıktılarıyla Uyumu</w:t>
      </w:r>
    </w:p>
    <w:p>
      <w:pPr>
        <w:jc w:val="both"/>
      </w:pPr>
      <w:r>
        <w:rPr>
          <w:b/>
          <w:bCs/>
          <w:i w:val="false"/>
          <w:iCs w:val="false"/>
          <w:u w:val="single" w:color="000000"/>
        </w:rPr>
        <w:t xml:space="preserve">Gereklilikler</w:t>
      </w:r>
      <w:r>
        <w:br/>
      </w:r>
    </w:p>
    <w:p>
      <w:pPr>
        <w:pStyle w:val="ListParagraph"/>
        <w:numPr>
          <w:ilvl w:val="0"/>
          <w:numId w:val="1"/>
        </w:numPr>
        <w:jc w:val="both"/>
      </w:pPr>
      <w:r>
        <w:t xml:space="preserve">Derslerin öğrenme kazanımları (karma ve uzaktan eğitim de dahil) tanımlanmış ve program çıktıları ile ders kazanımları eşleştirmesi oluşturulmuş ve ilan edilmiştir. Kazanımların ifade şekli öngörülen bilişsel, duyuşsal ve devinimsel seviyeyi açıkça belirtmektedir.</w:t>
      </w:r>
    </w:p>
    <w:p>
      <w:pPr>
        <w:pStyle w:val="ListParagraph"/>
        <w:numPr>
          <w:ilvl w:val="0"/>
          <w:numId w:val="1"/>
        </w:numPr>
        <w:jc w:val="both"/>
      </w:pPr>
      <w:r>
        <w:t xml:space="preserve">Ders öğrenme kazanımlarının gerçekleştiğinin nasıl izleneceğine dair planlama yapılmıştır, özellikle alana özgü olmayan (genel) kazanımların irdelenme yöntem ve süreci ayrıntılı belirtilmektedir.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B.1.4. Öğrenci İş Yüküne Dayalı Ders Tasarımı</w:t>
      </w:r>
    </w:p>
    <w:p>
      <w:pPr>
        <w:jc w:val="both"/>
      </w:pPr>
      <w:r>
        <w:rPr>
          <w:b/>
          <w:bCs/>
          <w:i w:val="false"/>
          <w:iCs w:val="false"/>
          <w:u w:val="single" w:color="000000"/>
        </w:rPr>
        <w:t xml:space="preserve">Gereklilikler</w:t>
      </w:r>
      <w:r>
        <w:br/>
      </w:r>
    </w:p>
    <w:p>
      <w:pPr>
        <w:pStyle w:val="ListParagraph"/>
        <w:numPr>
          <w:ilvl w:val="0"/>
          <w:numId w:val="1"/>
        </w:numPr>
        <w:jc w:val="both"/>
      </w:pPr>
      <w: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B.1.5. Programların İzlenmesi ve Güncellenmesi</w:t>
      </w:r>
    </w:p>
    <w:p>
      <w:pPr>
        <w:jc w:val="both"/>
      </w:pPr>
      <w:r>
        <w:rPr>
          <w:b/>
          <w:bCs/>
          <w:i w:val="false"/>
          <w:iCs w:val="false"/>
          <w:u w:val="single" w:color="000000"/>
        </w:rPr>
        <w:t xml:space="preserve">Gereklilikler</w:t>
      </w:r>
      <w:r>
        <w:br/>
      </w:r>
    </w:p>
    <w:p>
      <w:pPr>
        <w:pStyle w:val="ListParagraph"/>
        <w:numPr>
          <w:ilvl w:val="0"/>
          <w:numId w:val="1"/>
        </w:numPr>
        <w:jc w:val="both"/>
      </w:pPr>
      <w: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B.1.6. Eğitim ve Öğretim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w:t>
      </w:r>
    </w:p>
    <w:p>
      <w:pPr>
        <w:pStyle w:val="ListParagraph"/>
        <w:numPr>
          <w:ilvl w:val="0"/>
          <w:numId w:val="1"/>
        </w:numPr>
        <w:jc w:val="both"/>
      </w:pPr>
      <w:r>
        <w:t xml:space="preserve">Eğitim ve öğretim programlarının tasarlanması, yürütülmesi, değerlendirilmesi ve güncellenmesi faaliyetlerine ilişkin kurum genelinde ilke, esaslar ile takvim belirlidir.</w:t>
      </w:r>
    </w:p>
    <w:p>
      <w:pPr>
        <w:pStyle w:val="ListParagraph"/>
        <w:numPr>
          <w:ilvl w:val="0"/>
          <w:numId w:val="1"/>
        </w:numPr>
        <w:jc w:val="both"/>
      </w:pPr>
      <w: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B.2.1. Öğretim Yöntem ve Teknikleri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w:t>
      </w:r>
    </w:p>
    <w:p>
      <w:pPr>
        <w:pStyle w:val="ListParagraph"/>
        <w:numPr>
          <w:ilvl w:val="0"/>
          <w:numId w:val="1"/>
        </w:numPr>
        <w:jc w:val="both"/>
      </w:pPr>
      <w:r>
        <w:t xml:space="preserve">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B.2.2. Ölçme ve değerlendirme</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merkezli ölçme ve değerlendirme, yetkinlik ve performans temelinde yürütülmekte ve öğrencilerin kendini ifade etme olanakları mümkün olduğunca çeşitlendirilmektedir.</w:t>
      </w:r>
    </w:p>
    <w:p>
      <w:pPr>
        <w:pStyle w:val="ListParagraph"/>
        <w:numPr>
          <w:ilvl w:val="0"/>
          <w:numId w:val="1"/>
        </w:numPr>
        <w:jc w:val="both"/>
      </w:pPr>
      <w:r>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w:t>
      </w:r>
    </w:p>
    <w:p>
      <w:pPr>
        <w:pStyle w:val="ListParagraph"/>
        <w:numPr>
          <w:ilvl w:val="0"/>
          <w:numId w:val="1"/>
        </w:numPr>
        <w:jc w:val="both"/>
      </w:pPr>
      <w:r>
        <w:t xml:space="preserve">Ölçme ve değerlendirme uygulamalarının zaman ve kişiler arasında tutarlılığı ve güvenirliği sağlanmaktadır. Birim, ölçme değerlendirme yaklaşım ve olanaklarını öğrenci-öğretim elemanı geri bildirimine dayalı biçimde iyileştirmektedir Bu iyileştirmelerin duyurulması, uygulanması, kontrolü, hedeflerle uyumu ve alınan önlemler irdelenmektedir.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B.2.3. Öğrenci Kabulü, Önceki Öğrenmenin Tanınması ve Kredilendirilmesi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w:t>
      </w:r>
    </w:p>
    <w:p>
      <w:pPr>
        <w:pStyle w:val="ListParagraph"/>
        <w:numPr>
          <w:ilvl w:val="0"/>
          <w:numId w:val="1"/>
        </w:numPr>
        <w:jc w:val="both"/>
      </w:pPr>
      <w:r>
        <w:t xml:space="preserve">Önceki öğrenmenin (örgün, yaygın, uzaktan/karma eğitim ve serbest öğrenme yoluyla edinilen bilgi ve becerilerin) tanınması ve kredilendirilmesi yapılmaktadır.</w:t>
      </w:r>
    </w:p>
    <w:p>
      <w:pPr>
        <w:pStyle w:val="ListParagraph"/>
        <w:numPr>
          <w:ilvl w:val="0"/>
          <w:numId w:val="1"/>
        </w:numPr>
        <w:jc w:val="both"/>
      </w:pPr>
      <w:r>
        <w:t xml:space="preserve">Uluslararasılaşma politikasına paralel hareketlilik destekleri, öğrenciyi teşvik, kolaylaştırıcı önlemler bulunmaktadır ve hareketlilikte kredi kaybı olmaması yönünde uygulamalar vardır.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B.2.4. Yeterliliklerin Sertifikalandırılması ve Diploma</w:t>
      </w:r>
    </w:p>
    <w:p>
      <w:pPr>
        <w:jc w:val="both"/>
      </w:pPr>
      <w:r>
        <w:rPr>
          <w:b/>
          <w:bCs/>
          <w:i w:val="false"/>
          <w:iCs w:val="false"/>
          <w:u w:val="single" w:color="000000"/>
        </w:rPr>
        <w:t xml:space="preserve">Gereklilikler</w:t>
      </w:r>
      <w:r>
        <w:br/>
      </w:r>
    </w:p>
    <w:p>
      <w:pPr>
        <w:pStyle w:val="ListParagraph"/>
        <w:numPr>
          <w:ilvl w:val="0"/>
          <w:numId w:val="1"/>
        </w:numPr>
        <w:jc w:val="both"/>
      </w:pPr>
      <w:r>
        <w:t xml:space="preserve">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B.3.1. Öğrenme Ortam ve Kaynakları</w:t>
      </w:r>
    </w:p>
    <w:p>
      <w:pPr>
        <w:jc w:val="both"/>
      </w:pPr>
      <w:r>
        <w:rPr>
          <w:b/>
          <w:bCs/>
          <w:i w:val="false"/>
          <w:iCs w:val="false"/>
          <w:u w:val="single" w:color="000000"/>
        </w:rPr>
        <w:t xml:space="preserve">Gereklilikler</w:t>
      </w:r>
      <w:r>
        <w:br/>
      </w:r>
    </w:p>
    <w:p>
      <w:pPr>
        <w:pStyle w:val="ListParagraph"/>
        <w:numPr>
          <w:ilvl w:val="0"/>
          <w:numId w:val="1"/>
        </w:numPr>
        <w:jc w:val="both"/>
      </w:pPr>
      <w:r>
        <w:t xml:space="preserve">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B.3.2. Akademik Destek Hizmetleri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B.3.3. Tesis ve Altyapılar</w:t>
      </w:r>
    </w:p>
    <w:p>
      <w:pPr>
        <w:jc w:val="both"/>
      </w:pPr>
      <w:r>
        <w:rPr>
          <w:b/>
          <w:bCs/>
          <w:i w:val="false"/>
          <w:iCs w:val="false"/>
          <w:u w:val="single" w:color="000000"/>
        </w:rPr>
        <w:t xml:space="preserve">Gereklilikler</w:t>
      </w:r>
      <w:r>
        <w:br/>
      </w:r>
    </w:p>
    <w:p>
      <w:pPr>
        <w:pStyle w:val="ListParagraph"/>
        <w:numPr>
          <w:ilvl w:val="0"/>
          <w:numId w:val="1"/>
        </w:numPr>
        <w:jc w:val="both"/>
      </w:pPr>
      <w:r>
        <w:t xml:space="preserve">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B.3.4. Dezavantajlı Gruplar</w:t>
      </w:r>
    </w:p>
    <w:p>
      <w:pPr>
        <w:jc w:val="both"/>
      </w:pPr>
      <w:r>
        <w:rPr>
          <w:b/>
          <w:bCs/>
          <w:i w:val="false"/>
          <w:iCs w:val="false"/>
          <w:u w:val="single" w:color="000000"/>
        </w:rPr>
        <w:t xml:space="preserve">Gereklilikler</w:t>
      </w:r>
      <w:r>
        <w:br/>
      </w:r>
    </w:p>
    <w:p>
      <w:pPr>
        <w:pStyle w:val="ListParagraph"/>
        <w:numPr>
          <w:ilvl w:val="0"/>
          <w:numId w:val="1"/>
        </w:numPr>
        <w:jc w:val="both"/>
      </w:pPr>
      <w: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B.3.5. Sosyal, Kültürel, Sportif Faaliyetler</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B.4.1. Atama, Yükseltme ve Görevlendirme Kriterleri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elemanı (uluslararası öğretim elemanları dahil) ders yükü ve dağılım dengesi şeffaf olarak paylaşılır. Birimin öğretim üyesinden beklentisi bireylerce bilinir. Kurum dışından ders vermek üzere görevlendirilenlerin seçiminde liyakate dikkat edilir ve yarıyıl sonunda performanslarının değerlendirilmesi şeffaf ve etkindir. Birimde eğitim-öğretim ilkelerine ve kültürüne uyum gözetilmektedir.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B.4.2. Öğretim Yetkinlikleri ve Gelişimi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yetkinliği geliştirme süreçleri ihtiyaç analizleri temelinde planlanır, yaygın biçimde yürütülür ve etkililiği düzenli olarak izlenir.</w:t>
      </w:r>
      <w: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Birimin öğretim yetkinliği geliştirme performansı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B.4.3. Eğitim Faaliyetlerine Yönelik Teşvik ve Ödüllendirme</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elemanları için yaratıcı/yenilikçi  eğitim uygulamalarını ve bu alanda rekabeti arttırmak üzere “iyi eğitim ödülü” gibi teşvik ve ödüllendirme süreçleri vardır. Eğitim ve öğretimi önceliklendirmek üzere atama ve yükseltme kriterlerinde yaratıcı eğitim faaliyetlerine yer verilir.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C.1.1. Araştırma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Faaliyetler</w:t>
      </w:r>
      <w:r>
        <w:br/>
      </w:r>
      <w:r>
        <w:t xml:space="preserve">?</w:t>
      </w:r>
      <w:r>
        <w:rPr>
          <w:b/>
          <w:bCs/>
          <w:i/>
          <w:iCs/>
        </w:rPr>
        <w:t xml:space="preserve">Merkezimiz bünyesinde hizmete açık laboratuvarlarda görevli personel için görev dağılımı ve hassas görev tanımları belirlenmiş ve birimimiz web sayfasında ilan edilmiştir. ((3). C.1.1.1.) (TK 2024/33).</w:t>
      </w:r>
      <w:r>
        <w:br/>
      </w:r>
      <w:r>
        <w:t xml:space="preserve">?</w:t>
      </w:r>
      <w:r>
        <w:rPr>
          <w:b/>
          <w:bCs/>
          <w:i/>
          <w:iCs/>
        </w:rPr>
        <w:t xml:space="preserve">Mevcut laboratuvarlar için talimat, liste, form ve iş akış şemaları oluşturulmuş ve Üniversite Kalite Yönetim Sistemi (KYS) girişleri yapılmıştır ((3) C.1.1.2.).</w:t>
      </w:r>
      <w:r>
        <w:br/>
      </w:r>
      <w:r>
        <w:t xml:space="preserve">?</w:t>
      </w:r>
      <w:r>
        <w:rPr>
          <w:b/>
          <w:bCs/>
          <w:i/>
          <w:iCs/>
        </w:rPr>
        <w:t xml:space="preserve">Birimimiz kısa ve uzun vadeli hedefleri net ve kesin olarak Birim Stratejik Planında tanımlanmıştır. Web sayfasında ilan edilmiştir. ((3) C.1.1.3.).</w:t>
      </w:r>
      <w:r>
        <w:br/>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C.1.2. İç ve Dış Kaynaklar</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Birimin fiziki, teknik ve mali araştırma kaynakları misyon, hedef ve stratejileriyle uyumlu ve yeterlidir. Kaynakların çeşitliliği ve yeterliliği izlenmekte ve iyileştirilmektedir.</w:t>
      </w:r>
    </w:p>
    <w:p>
      <w:pPr>
        <w:pStyle w:val="ListParagraph"/>
        <w:numPr>
          <w:ilvl w:val="0"/>
          <w:numId w:val="1"/>
        </w:numPr>
        <w:jc w:val="both"/>
      </w:pPr>
      <w:r>
        <w:t xml:space="preserve">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w:t>
      </w:r>
    </w:p>
    <w:p>
      <w:pPr>
        <w:pStyle w:val="ListParagraph"/>
        <w:numPr>
          <w:ilvl w:val="0"/>
          <w:numId w:val="1"/>
        </w:numPr>
        <w:jc w:val="both"/>
      </w:pPr>
      <w:r>
        <w:t xml:space="preserve">Misyon ve hedeflerle uyumlu olarak üniversite dışı kaynaklara yönelme desteklenmektedir. Bu amaçla çalışan destek birimleri ve yöntemleri tanımlıdır ve araştırmacılarca iyi bilinir.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Faaliyetler</w:t>
      </w:r>
      <w:r>
        <w:br/>
      </w:r>
      <w:r>
        <w:t xml:space="preserve">?</w:t>
      </w:r>
      <w:r>
        <w:rPr>
          <w:b/>
          <w:bCs/>
          <w:i/>
          <w:iCs/>
        </w:rPr>
        <w:t xml:space="preserve">Merkezimizce kaynakların aktarılacağı/aktarıldığı cihaz seçimleri Yönetim Kurulu Kararı ile belirlenmektedir. 2024 yılı içinde alınması karara bağlanan ve tavsiye edilen cihaz ve sistem bilgisi yönetim kurulu kararı ile verilmiştir ((3) C.1.2.1.).</w:t>
      </w:r>
      <w:r>
        <w:br/>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C.1.3. Doktora Programları ve Doktora Sonrası İmkanlar</w:t>
      </w:r>
    </w:p>
    <w:p>
      <w:pPr>
        <w:jc w:val="both"/>
      </w:pPr>
      <w:r>
        <w:rPr>
          <w:b/>
          <w:bCs/>
          <w:i w:val="false"/>
          <w:iCs w:val="false"/>
          <w:u w:val="single" w:color="000000"/>
        </w:rPr>
        <w:t xml:space="preserve">Gereklilikler</w:t>
      </w:r>
      <w:r>
        <w:br/>
      </w:r>
    </w:p>
    <w:p>
      <w:pPr>
        <w:pStyle w:val="ListParagraph"/>
        <w:numPr>
          <w:ilvl w:val="0"/>
          <w:numId w:val="1"/>
        </w:numPr>
        <w:jc w:val="both"/>
      </w:pPr>
      <w:r>
        <w:t xml:space="preserve">Doktora programlarının başvuru süreçleri, kayıtlı öğrencileri ve mezun sayıları ile gelişme eğilimleri izlenmektedir. Birimde doktora sonrası (post-doc) imkanları bulunmaktadır ve birimin kendi mezunlarını işe alma (inbreeding) politikası açıktır.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r>
        <w:t xml:space="preserve">Talep edilen gösterge birimimizle ilişkili değildir.</w:t>
      </w:r>
    </w:p>
    <w:p>
      <w:pPr>
        <w:pStyle w:val="Heading2"/>
        <w:spacing w:before="160" w:after="120"/>
        <w:jc w:val="center"/>
      </w:pPr>
      <w:r>
        <w:t xml:space="preserve">C.2.1. Araştırma Yetkinlikleri ve Gelişimi</w:t>
      </w:r>
    </w:p>
    <w:p>
      <w:pPr>
        <w:jc w:val="both"/>
      </w:pPr>
      <w:r>
        <w:rPr>
          <w:b/>
          <w:bCs/>
          <w:i w:val="false"/>
          <w:iCs w:val="false"/>
          <w:u w:val="single" w:color="000000"/>
        </w:rPr>
        <w:t xml:space="preserve">Gereklilikler</w:t>
      </w:r>
      <w:r>
        <w:br/>
      </w:r>
    </w:p>
    <w:p>
      <w:pPr>
        <w:pStyle w:val="ListParagraph"/>
        <w:numPr>
          <w:ilvl w:val="0"/>
          <w:numId w:val="1"/>
        </w:numPr>
        <w:jc w:val="both"/>
      </w:pPr>
      <w:r>
        <w:t xml:space="preserve">Doktora derecesine sahip araştırmacı oranı, doktora derecesinin alındığı kurumların dağılımı; kümelenme/ 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Faaliyetler</w:t>
      </w:r>
      <w:r>
        <w:br/>
      </w:r>
      <w:r>
        <w:br/>
      </w:r>
      <w:r>
        <w:t xml:space="preserve">Ø</w:t>
      </w:r>
      <w:r>
        <w:rPr>
          <w:b/>
          <w:bCs/>
          <w:i/>
          <w:iCs/>
        </w:rPr>
        <w:t xml:space="preserve">GÜTMAM ve diğer fakültelerdeki cihazlar yerinde hizmet kapsamında rutin analiz faaliyetlerini sürdürülebilmesi için MerLab Yönetim Sistemi erişime açılmış ve birimlerden 8 Laboratuvara ait cihaz alt yapısında 31 analiz ile hizmet vermektedir. ((3) C.2.1.1., (3) C.2.1.2., (3) C.2.1.3.) (AG 2024/41) (AG-S 2024/20).</w:t>
      </w:r>
      <w:r>
        <w:br/>
      </w:r>
      <w:r>
        <w:t xml:space="preserve">?</w:t>
      </w:r>
      <w:r>
        <w:rPr>
          <w:b/>
          <w:bCs/>
          <w:i/>
          <w:iCs/>
        </w:rPr>
        <w:t xml:space="preserve">Merkezimiz bünyesinde hizmete açılan Görüntüleme (FE-SEM) ve Radyoaktivite Ölçüm ve Analiz Laboratuvarı (Gama) faaliyeti kapsamında detaylı bilgilendirme yapabilmek için GÜTMAM Laboratuvarları tanıtım videoları hazırlanmış olup Gazi Üniversitesi sosyal medya hesapları ile paylaşılmıştır. Ayrıca, FE-SEM ve Gama Spektrometresi cihazı tanıtım broşürü birim web sayfamızda ve sosyal medya hesaplarımızda yayınlanmıştır. ((3) C.2.1.4., (3) C.2.1.5., (3) C.2.1.6., (3) C.2.1.7.) (AG 2024/41) (AG-S 2024/20).</w:t>
      </w:r>
      <w:r>
        <w:br/>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C.2.2. Ulusal ve Uluslararası Ortak Programlar ve Ortak Araştırma Birimleri</w:t>
      </w:r>
    </w:p>
    <w:p>
      <w:pPr>
        <w:jc w:val="both"/>
      </w:pPr>
      <w:r>
        <w:rPr>
          <w:b/>
          <w:bCs/>
          <w:i w:val="false"/>
          <w:iCs w:val="false"/>
          <w:u w:val="single" w:color="000000"/>
        </w:rPr>
        <w:t xml:space="preserve">Gereklilikler</w:t>
      </w:r>
      <w:r>
        <w:br/>
      </w:r>
    </w:p>
    <w:p>
      <w:pPr>
        <w:pStyle w:val="ListParagraph"/>
        <w:numPr>
          <w:ilvl w:val="0"/>
          <w:numId w:val="1"/>
        </w:numPr>
        <w:jc w:val="both"/>
      </w:pPr>
      <w:r>
        <w:t xml:space="preserve">Kurumlararası iş birliklerini, disiplinlerarası girişimleri, sinerji yaratacak ortak girişimleri özendirecek mekanizmalar mevcuttur ve etkindir. Ortak araştırma veya lisansüstü programları, araştırma ağlarına katılım, ortak araştırma birimleri varlığı, ulusal ve uluslararası iş birlikleri gibi çoklu araştırma faaliyetleri tanımlanmıştır, desteklenmektedir ve sistematik olarak izlenerek birimin hedefleriyle uyumlu iyileştirmeler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Faaliyetler</w:t>
      </w:r>
      <w:r>
        <w:br/>
      </w:r>
      <w:r>
        <w:t xml:space="preserve">?</w:t>
      </w:r>
      <w:r>
        <w:rPr>
          <w:b/>
          <w:bCs/>
          <w:i/>
          <w:iCs/>
        </w:rPr>
        <w:t xml:space="preserve">Her bir süreç için planlama, uygulama, kontrol etme ve önlem alma faaliyetleri özlüce açıklanmalıdır.</w:t>
      </w:r>
      <w:r>
        <w:br/>
      </w:r>
      <w:r>
        <w:t xml:space="preserve">?</w:t>
      </w:r>
      <w:r>
        <w:rPr>
          <w:b/>
          <w:bCs/>
          <w:i/>
          <w:iCs/>
        </w:rPr>
        <w:t xml:space="preserve">Stratejik Plan Hedefleri, Strateji Eylem Planı (SEP), Kalite İyileştirme Planı (KİP) ve GÜ Kurumsal Akreditasyon Raporu (KAR) kapsamında gerçekleştirilen iyileştirmeler Sorumlu/İş Birliği Yapılacak Birim olarak belirlenen birimler tarafından mutlaka ilgili SP Hedefi/KİP/SEP Koduna referans vererek açıklamalıdır.</w:t>
      </w:r>
      <w:r>
        <w:br/>
      </w:r>
      <w:r>
        <w:br/>
      </w:r>
    </w:p>
    <w:p>
      <w:pPr>
        <w:pStyle w:val="Heading3"/>
        <w:spacing w:before="160" w:after="120"/>
        <w:jc w:val="left"/>
      </w:pPr>
      <w:r>
        <w:t xml:space="preserve">Olgunluk Düzeyi (Rubrik Dereceli Derecelendirme Puanı)</w:t>
      </w:r>
    </w:p>
    <w:p>
      <w:r>
        <w:t xml:space="preserve">2</w:t>
      </w:r>
    </w:p>
    <w:p>
      <w:pPr>
        <w:pStyle w:val="Heading2"/>
        <w:spacing w:before="160" w:after="120"/>
        <w:jc w:val="center"/>
      </w:pPr>
      <w:r>
        <w:t xml:space="preserve">C.3.1. Araştırma Performansının İzlenmesi ve Değerlendirilmesi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 araştırma faaliyetleri yıllık bazda izlenir, değerlendirilir, hedeflerle karşılaştırılır ve sapmaların nedenleri irdelenir. Birimin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Faaliyetler</w:t>
      </w:r>
      <w:r>
        <w:br/>
      </w:r>
      <w:r>
        <w:t xml:space="preserve">?</w:t>
      </w:r>
      <w:r>
        <w:rPr>
          <w:b/>
          <w:bCs/>
          <w:i/>
          <w:iCs/>
        </w:rPr>
        <w:t xml:space="preserve">MerLab Yönetim Sistemi üzerinden faaliyetlerini gerçekleştiren merkezimizde, hizmet sayısı, hizmete özgü döner sermaye girdisi, araştırmacı/personel yeterliliği, hizmet kalitesi, gibi pek çok veri toplanabilecek, yıl sonunda doküman olarak alınabilecektir ((2) C.3.1.1.). Veriler Danışma Kurulu ((2) C.3.1.2.) ve Yönetim Kurulu ((2) C.3.1.3.) (LYK 2024/42) (LYK-S 2024/151) (AG 2024/87) ile paylaşılacaktır. Hizmet sayısı ve kalitesinde iyileşmeye doğru alınacak önlemler ve stratejiler belirlenmiştir. MerLab Yönetim Sistemini 5 birim kullanmaktadır. ((2) C.3.1.4.).</w:t>
      </w:r>
      <w:r>
        <w:br/>
      </w:r>
      <w:r>
        <w:br/>
      </w:r>
    </w:p>
    <w:p>
      <w:pPr>
        <w:pStyle w:val="Heading3"/>
        <w:spacing w:before="160" w:after="120"/>
        <w:jc w:val="left"/>
      </w:pPr>
      <w:r>
        <w:t xml:space="preserve">Olgunluk Düzeyi (Rubrik Dereceli Derecelendirme Puanı)</w:t>
      </w:r>
    </w:p>
    <w:p>
      <w:r>
        <w:t xml:space="preserve">2</w:t>
      </w:r>
    </w:p>
    <w:p>
      <w:pPr>
        <w:pStyle w:val="Heading2"/>
        <w:spacing w:before="160" w:after="120"/>
        <w:jc w:val="center"/>
      </w:pPr>
      <w:r>
        <w:t xml:space="preserve">C.3.2. Öğretim Elemanı/Araştırmacı Performansının Değerlendirilmesi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Faaliyetler</w:t>
      </w:r>
      <w:r>
        <w:br/>
      </w:r>
      <w:r>
        <w:t xml:space="preserve">?</w:t>
      </w:r>
      <w:r>
        <w:rPr>
          <w:b/>
          <w:bCs/>
          <w:i/>
          <w:iCs/>
        </w:rPr>
        <w:t xml:space="preserve">Merkezimizde görevli akademik personelin GÜTMAM adresli Akademik Faaliyetleri ((3) C.3.2.1.) (LYK 2024/32) (AG-S 2024/62)</w:t>
      </w:r>
      <w:r>
        <w:br/>
      </w:r>
      <w:r>
        <w:br/>
      </w:r>
      <w:r>
        <w:t xml:space="preserve">?</w:t>
      </w:r>
      <w:r>
        <w:rPr>
          <w:b/>
          <w:bCs/>
          <w:i/>
          <w:iCs/>
        </w:rPr>
        <w:t xml:space="preserve">Merkez Faaliyet Raporunun yıllık olarak hazırlanması ve web sayfamızda yayınlanması ((3) C.3.2.2.)</w:t>
      </w:r>
      <w:r>
        <w:br/>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D.1.1. Toplumsal Katkı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Birimin toplumsal katkı politikası birimin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Faaliyetler</w:t>
      </w:r>
      <w:r>
        <w:br/>
      </w:r>
      <w:r>
        <w:t xml:space="preserve">?</w:t>
      </w:r>
      <w:r>
        <w:rPr>
          <w:b/>
          <w:bCs/>
          <w:i/>
          <w:iCs/>
        </w:rPr>
        <w:t xml:space="preserve">2022 GÜKK BİDR’de belirtildiği gibi birimimizde toplumsal katkı süreçlerinin yönetimi ve organizasyonel yapısına ilişkin bir planlama bulunmamaktadır. Ancak, Üniversitemiz Sağlık Kültür ve Spor Dairesi Başkanlığı (SKS) tarafından belirlenen yönetmelikle görevlendirilen Kısmi Zamanlı Öğrenciler Merkezimiz bünyesinde NMR, FE-SEM ve Gama Laboratuvarlarında yardımcı olmak üzere görevlendirilmişlerdir. ((1) D.1.1.1, (1) D.1.1.2).</w:t>
      </w:r>
      <w:r>
        <w:br/>
      </w:r>
      <w:r>
        <w:br/>
      </w:r>
    </w:p>
    <w:p>
      <w:pPr>
        <w:pStyle w:val="Heading3"/>
        <w:spacing w:before="160" w:after="120"/>
        <w:jc w:val="left"/>
      </w:pPr>
      <w:r>
        <w:t xml:space="preserve">Olgunluk Düzeyi (Rubrik Dereceli Derecelendirme Puanı)</w:t>
      </w:r>
    </w:p>
    <w:p>
      <w:r>
        <w:t xml:space="preserve">2</w:t>
      </w:r>
    </w:p>
    <w:p>
      <w:pPr>
        <w:pStyle w:val="Heading2"/>
        <w:spacing w:before="160" w:after="120"/>
        <w:jc w:val="center"/>
      </w:pPr>
      <w:r>
        <w:t xml:space="preserve">D.1.2. Kaynaklar</w:t>
      </w:r>
    </w:p>
    <w:p>
      <w:pPr>
        <w:jc w:val="both"/>
      </w:pPr>
      <w:r>
        <w:rPr>
          <w:b/>
          <w:bCs/>
          <w:i w:val="false"/>
          <w:iCs w:val="false"/>
          <w:u w:val="single" w:color="000000"/>
        </w:rPr>
        <w:t xml:space="preserve">Gereklilikler</w:t>
      </w:r>
      <w:r>
        <w:br/>
      </w:r>
    </w:p>
    <w:p>
      <w:pPr>
        <w:pStyle w:val="ListParagraph"/>
        <w:numPr>
          <w:ilvl w:val="0"/>
          <w:numId w:val="1"/>
        </w:numPr>
        <w:jc w:val="both"/>
      </w:pPr>
      <w:r>
        <w:t xml:space="preserve">Toplumsal katkı etkinliklerine ayrılan kaynaklar (mali, fiziksel, insan gücü) belirlenmiş, paylaşılmış ve kurumsallaşmış olup, bunlar izlenmekte ve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açıklanmalıdır.</w:t>
      </w:r>
    </w:p>
    <w:p>
      <w:pPr>
        <w:pStyle w:val="Heading3"/>
        <w:spacing w:before="160" w:after="120"/>
        <w:jc w:val="left"/>
      </w:pPr>
      <w:r>
        <w:t xml:space="preserve">Faaliyetler</w:t>
      </w:r>
    </w:p>
    <w:p>
      <w:pPr>
        <w:jc w:val="both"/>
      </w:pPr>
      <w:r>
        <w:t xml:space="preserve">Faaliyetler</w:t>
      </w:r>
      <w:r>
        <w:br/>
      </w:r>
      <w:r>
        <w:t xml:space="preserve">?</w:t>
      </w:r>
      <w:r>
        <w:rPr>
          <w:b/>
          <w:bCs/>
          <w:i/>
          <w:iCs/>
        </w:rPr>
        <w:t xml:space="preserve">Her bir süreç için planlama, uygulama, kontrol etme ve önlem alma faaliyetleri özlüce açıklanmalıdır.</w:t>
      </w:r>
      <w:r>
        <w:br/>
      </w:r>
      <w:r>
        <w:t xml:space="preserve">?</w:t>
      </w:r>
      <w:r>
        <w:rPr>
          <w:b/>
          <w:bCs/>
          <w:i/>
          <w:iCs/>
        </w:rPr>
        <w:t xml:space="preserve">Stratejik Plan Hedefleri, Strateji Eylem Planı (SEP), Kalite İyileştirme Planı (KİP) ve GÜ Kurumsal Akreditasyon Raporu (KAR) kapsamında gerçekleştirilen iyileştirmeler Sorumlu/İş Birliği Yapılacak Birim olarak belirlenen birimler tarafından mutlaka ilgili SP Hedefi/KİP/SEP Koduna referans vererek açıklamalıdır.</w:t>
      </w:r>
      <w:r>
        <w:br/>
      </w:r>
      <w:r>
        <w:br/>
      </w:r>
    </w:p>
    <w:p>
      <w:pPr>
        <w:pStyle w:val="Heading3"/>
        <w:spacing w:before="160" w:after="120"/>
        <w:jc w:val="left"/>
      </w:pPr>
      <w:r>
        <w:t xml:space="preserve">Olgunluk Düzeyi (Rubrik Dereceli Derecelendirme Puanı)</w:t>
      </w:r>
    </w:p>
    <w:p>
      <w:r>
        <w:t xml:space="preserve">2</w:t>
      </w:r>
    </w:p>
    <w:p>
      <w:pPr>
        <w:pStyle w:val="Heading2"/>
        <w:spacing w:before="160" w:after="120"/>
        <w:jc w:val="center"/>
      </w:pPr>
      <w:r>
        <w:t xml:space="preserve">D.2.1.Toplumsal Katkı Performansının İzlenmesi ve Değerlendirilmesi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Faaliyetler</w:t>
      </w:r>
      <w:r>
        <w:br/>
      </w:r>
      <w:r>
        <w:t xml:space="preserve">?</w:t>
      </w:r>
      <w:r>
        <w:rPr>
          <w:b/>
          <w:bCs/>
          <w:i/>
          <w:iCs/>
        </w:rPr>
        <w:t xml:space="preserve">Her bir süreç için planlama, uygulama, kontrol etme ve önlem alma faaliyetleri özlüce açıklanmalıdır.</w:t>
      </w:r>
      <w:r>
        <w:br/>
      </w:r>
      <w:r>
        <w:t xml:space="preserve">?</w:t>
      </w:r>
      <w:r>
        <w:rPr>
          <w:b/>
          <w:bCs/>
          <w:i/>
          <w:iCs/>
        </w:rPr>
        <w:t xml:space="preserve">Stratejik Plan Hedefleri, Strateji Eylem Planı (SEP), Kalite İyileştirme Planı (KİP) ve GÜ Kurumsal Akreditasyon Raporu (KAR) kapsamında gerçekleştirilen iyileştirmeler Sorumlu/İş Birliği Yapılacak Birim olarak belirlenen birimler tarafından mutlaka ilgili SP Hedefi/KİP/SEP Koduna referans vererek açıklamalıdır.</w:t>
      </w:r>
      <w:r>
        <w:br/>
      </w:r>
      <w:r>
        <w:br/>
      </w:r>
    </w:p>
    <w:p>
      <w:pPr>
        <w:pStyle w:val="Heading3"/>
        <w:spacing w:before="160" w:after="120"/>
        <w:jc w:val="left"/>
      </w:pPr>
      <w:r>
        <w:t xml:space="preserve">Olgunluk Düzeyi (Rubrik Dereceli Derecelendirme Puanı)</w:t>
      </w:r>
    </w:p>
    <w:p>
      <w:r>
        <w:t xml:space="preserve">3</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compat>
    <w:doNotExpandShiftReturn/>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MySpectacularStyle">
    <w:name w:val="My Spectacular Style"/>
    <w:basedOn w:val="Heading1"/>
    <w:next w:val="Heading1"/>
    <w:qFormat/>
    <w:rPr>
      <w:i/>
      <w:iCs/>
      <w:color w:val="99000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2025-06-25T07:46:35.501Z</dcterms:created>
  <dcterms:modified xsi:type="dcterms:W3CDTF">2025-06-25T07:46:35.501Z</dcterms:modified>
</cp:coreProperties>
</file>

<file path=docProps/custom.xml><?xml version="1.0" encoding="utf-8"?>
<Properties xmlns="http://schemas.openxmlformats.org/officeDocument/2006/custom-properties" xmlns:vt="http://schemas.openxmlformats.org/officeDocument/2006/docPropsVTypes"/>
</file>