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jc w:val="center"/>
      </w:pPr>
      <w:r>
        <w:rPr>
          <w:b/>
          <w:bCs/>
          <w:color w:val="595959"/>
          <w:sz w:val="22"/>
          <w:szCs w:val="22"/>
        </w:rPr>
        <w:t xml:space="preserve">T.C. GAZİ ÜNİVERSİTESİ</w:t>
      </w:r>
    </w:p>
    <w:p>
      <w:pPr>
        <w:spacing w:after="40"/>
        <w:jc w:val="center"/>
      </w:pPr>
      <w:r>
        <w:rPr>
          <w:b/>
          <w:bCs/>
          <w:caps w:val="false"/>
          <w:color w:val="1F3864"/>
          <w:sz w:val="26"/>
          <w:szCs w:val="26"/>
        </w:rPr>
        <w:t xml:space="preserve">OTİZM VE GELİŞİMSEL BOZUKLUKLAR UYGULAMA VE ARAŞTIRMA MERKEZİ (GEBAM)</w:t>
      </w:r>
    </w:p>
    <w:p>
      <w:pPr>
        <w:spacing w:after="500"/>
        <w:jc w:val="center"/>
      </w:pPr>
      <w:r>
        <w:rPr>
          <w:b w:val="false"/>
          <w:bCs w:val="false"/>
          <w:caps w:val="false"/>
          <w:color w:val="595959"/>
          <w:sz w:val="20"/>
          <w:szCs w:val="20"/>
        </w:rPr>
        <w:t xml:space="preserve">GAZI UNIVERSITY CENTRE FOR APPLIED RESEARCH ON AUTISM AND DEVELOPMENTAL DISORDERS (GEBAM)</w:t>
      </w:r>
    </w:p>
    <w:p>
      <w:pPr>
        <w:pBdr>
          <w:bottom w:val="single" w:color="9C6B1F" w:sz="14" w:space="8"/>
        </w:pBdr>
        <w:spacing w:after="500"/>
      </w:pPr>
      <w:r>
        <w:t xml:space="preserve"/>
      </w:r>
    </w:p>
    <w:p>
      <w:pPr>
        <w:spacing w:after="20"/>
        <w:jc w:val="center"/>
      </w:pPr>
      <w:r>
        <w:rPr>
          <w:b w:val="false"/>
          <w:bCs w:val="false"/>
          <w:caps w:val="false"/>
          <w:color w:val="1F3864"/>
          <w:sz w:val="22"/>
          <w:szCs w:val="22"/>
        </w:rPr>
        <w:t xml:space="preserve">ÇOCUKLARLA YÜRÜTÜLEN GÖRÜŞME, DEĞERLENDİRME, ARAŞTIRMA VE İLGİLİ TÜM FAALİYETLERE İLİŞKİN</w:t>
      </w:r>
    </w:p>
    <w:p>
      <w:pPr>
        <w:spacing w:after="360"/>
        <w:jc w:val="center"/>
      </w:pPr>
      <w:r>
        <w:rPr>
          <w:b/>
          <w:bCs/>
          <w:caps w:val="false"/>
          <w:color w:val="1F3864"/>
          <w:sz w:val="34"/>
          <w:szCs w:val="34"/>
        </w:rPr>
        <w:t xml:space="preserve">ETİK DEKLARASYON BELGESİ</w:t>
      </w:r>
    </w:p>
    <w:p>
      <w:pPr>
        <w:spacing w:after="10"/>
        <w:jc w:val="center"/>
      </w:pPr>
      <w:r>
        <w:rPr>
          <w:b w:val="false"/>
          <w:bCs w:val="false"/>
          <w:caps w:val="false"/>
          <w:color w:val="595959"/>
          <w:sz w:val="18"/>
          <w:szCs w:val="18"/>
        </w:rPr>
        <w:t xml:space="preserve">ETHICAL DECLARATION ON CHILD INTERVIEWS, ASSESSMENTS, RESEARCH</w:t>
      </w:r>
    </w:p>
    <w:p>
      <w:pPr>
        <w:spacing w:after="500"/>
        <w:jc w:val="center"/>
      </w:pPr>
      <w:r>
        <w:rPr>
          <w:b w:val="false"/>
          <w:bCs w:val="false"/>
          <w:caps w:val="false"/>
          <w:color w:val="595959"/>
          <w:sz w:val="18"/>
          <w:szCs w:val="18"/>
        </w:rPr>
        <w:t xml:space="preserve">AND ALL RELATED ACTIVITIES</w:t>
      </w:r>
    </w:p>
    <w:p>
      <w:pPr>
        <w:spacing w:after="6"/>
        <w:jc w:val="center"/>
      </w:pPr>
      <w:r>
        <w:rPr>
          <w:b w:val="false"/>
          <w:bCs w:val="false"/>
          <w:caps w:val="false"/>
          <w:color w:val="595959"/>
          <w:sz w:val="19"/>
          <w:szCs w:val="19"/>
        </w:rPr>
        <w:t xml:space="preserve">Uluslararası kriterler esas alınarak hazırlanmıştır</w:t>
      </w:r>
    </w:p>
    <w:p>
      <w:pPr>
        <w:spacing w:after="700"/>
        <w:jc w:val="center"/>
      </w:pPr>
      <w:r>
        <w:rPr>
          <w:b w:val="false"/>
          <w:bCs w:val="false"/>
          <w:caps w:val="false"/>
          <w:color w:val="595959"/>
          <w:sz w:val="19"/>
          <w:szCs w:val="19"/>
        </w:rPr>
        <w:t xml:space="preserve">Prepared with reference to international criteria</w:t>
      </w:r>
    </w:p>
    <w:p>
      <w:pPr>
        <w:spacing w:after="80"/>
        <w:jc w:val="center"/>
      </w:pPr>
      <w:r>
        <w:rPr>
          <w:b w:val="false"/>
          <w:bCs w:val="false"/>
          <w:caps w:val="false"/>
          <w:color w:val="595959"/>
          <w:sz w:val="18"/>
          <w:szCs w:val="18"/>
        </w:rPr>
        <w:t xml:space="preserve">Sürüm / Version 1.0  •  Eylül 2026 / September 2026</w:t>
      </w:r>
    </w:p>
    <w:p>
      <w:pPr>
        <w:sectPr>
          <w:pgSz w:w="11906" w:h="16838" w:orient="portrait"/>
          <w:pgMar w:top="1440" w:right="1260" w:bottom="1440" w:left="1260" w:header="708" w:footer="708" w:gutter="0"/>
          <w:pgNumType/>
          <w:docGrid w:linePitch="360"/>
        </w:sectPr>
      </w:pPr>
    </w:p>
    <w:p>
      <w:pPr>
        <w:pBdr>
          <w:bottom w:val="single" w:color="1F3864" w:sz="18" w:space="6"/>
        </w:pBdr>
        <w:spacing w:after="360" w:before="200"/>
        <w:jc w:val="center"/>
      </w:pPr>
      <w:r>
        <w:rPr>
          <w:b/>
          <w:bCs/>
          <w:color w:val="1F3864"/>
          <w:sz w:val="30"/>
          <w:szCs w:val="30"/>
        </w:rPr>
        <w:t xml:space="preserve">BÖLÜM I — TÜRKÇE METİN</w:t>
      </w:r>
    </w:p>
    <w:p>
      <w:pPr>
        <w:pStyle w:val="Heading1"/>
        <w:pBdr>
          <w:bottom w:val="single" w:color="1F3864" w:sz="8" w:space="4"/>
        </w:pBdr>
        <w:spacing w:after="180" w:before="380"/>
      </w:pPr>
      <w:r>
        <w:rPr>
          <w:b/>
          <w:bCs/>
          <w:color w:val="1F3864"/>
          <w:sz w:val="27"/>
          <w:szCs w:val="27"/>
        </w:rPr>
        <w:t xml:space="preserve">1. AMAÇ VE KAPSAM</w:t>
      </w:r>
    </w:p>
    <w:p>
      <w:pPr>
        <w:spacing w:after="140" w:line="300"/>
        <w:jc w:val="both"/>
      </w:pPr>
      <w:r>
        <w:rPr>
          <w:i w:val="false"/>
          <w:iCs w:val="false"/>
          <w:color w:val="262626"/>
          <w:sz w:val="21"/>
          <w:szCs w:val="21"/>
        </w:rPr>
        <w:t xml:space="preserve">Bu Etik Deklarasyon Belgesi ("Belge"), Gazi Üniversitesi Otizm ve Gelişimsel Bozukluklar Uygulama ve Araştırma Merkezi (GEBAM) bünyesinde çocuklarla (0-18 yaş) yürütülen tüm klinik görüşme, gelişimsel/psikolojik/eğitsel değerlendirme, bilimsel araştırma, gözlem, veri toplama, danışmanlık, terapötik uygulama, kamp/atölye ve benzeri her türlü faaliyette uyulacak etik ilke ve standartları düzenler.</w:t>
      </w:r>
    </w:p>
    <w:p>
      <w:pPr>
        <w:spacing w:after="140" w:line="300"/>
        <w:jc w:val="both"/>
      </w:pPr>
      <w:r>
        <w:rPr>
          <w:i w:val="false"/>
          <w:iCs w:val="false"/>
          <w:color w:val="262626"/>
          <w:sz w:val="21"/>
          <w:szCs w:val="21"/>
        </w:rPr>
        <w:t xml:space="preserve">Bu Belge; GEBAM bünyesinde görev yapan akademisyen, klinisyen, uzman, araştırmacı, danışman, öğrenci, stajyer, gönüllü ve iş birliği yapılan tüm üçüncü taraf kişi ve kurumları bağlayıcı niteliktedir. Belge hükümleri, çocuğun kendisiyle, ailesiyle veya vasisiyle yapılan her türlü doğrudan veya dolaylı temas için geçerlidir.</w:t>
      </w:r>
    </w:p>
    <w:p>
      <w:pPr>
        <w:pStyle w:val="Heading1"/>
        <w:pBdr>
          <w:bottom w:val="single" w:color="1F3864" w:sz="8" w:space="4"/>
        </w:pBdr>
        <w:spacing w:after="180" w:before="380"/>
      </w:pPr>
      <w:r>
        <w:rPr>
          <w:b/>
          <w:bCs/>
          <w:color w:val="1F3864"/>
          <w:sz w:val="27"/>
          <w:szCs w:val="27"/>
        </w:rPr>
        <w:t xml:space="preserve">2. DAYANAK OLUŞTURAN ULUSLARARASI VE ULUSAL KRİTERLER</w:t>
      </w:r>
    </w:p>
    <w:p>
      <w:pPr>
        <w:spacing w:after="140" w:line="300"/>
        <w:jc w:val="both"/>
      </w:pPr>
      <w:r>
        <w:rPr>
          <w:i w:val="false"/>
          <w:iCs w:val="false"/>
          <w:color w:val="262626"/>
          <w:sz w:val="21"/>
          <w:szCs w:val="21"/>
        </w:rPr>
        <w:t xml:space="preserve">GEBAM, faaliyetlerini aşağıda belirtilen uluslararası sözleşme, bildirge ve etik kılavuzlar ile ulusal mevzuata tam uyum içinde; bu belgelerde yer alan ilkeleri asgari standart kabul ederek yürütür:</w:t>
      </w:r>
    </w:p>
    <w:p>
      <w:pPr>
        <w:pStyle w:val="ListParagraph"/>
        <w:numPr>
          <w:ilvl w:val="0"/>
          <w:numId w:val="2"/>
        </w:numPr>
        <w:spacing w:after="90" w:line="290"/>
        <w:jc w:val="both"/>
      </w:pPr>
      <w:r>
        <w:rPr>
          <w:color w:val="262626"/>
          <w:sz w:val="21"/>
          <w:szCs w:val="21"/>
        </w:rPr>
        <w:t xml:space="preserve">Birleşmiş Milletler Çocuk Haklarına Dair Sözleşme (UNCRC, 1989) ve Ek İhtiyari Protokolleri;</w:t>
      </w:r>
    </w:p>
    <w:p>
      <w:pPr>
        <w:pStyle w:val="ListParagraph"/>
        <w:numPr>
          <w:ilvl w:val="0"/>
          <w:numId w:val="2"/>
        </w:numPr>
        <w:spacing w:after="90" w:line="290"/>
        <w:jc w:val="both"/>
      </w:pPr>
      <w:r>
        <w:rPr>
          <w:color w:val="262626"/>
          <w:sz w:val="21"/>
          <w:szCs w:val="21"/>
        </w:rPr>
        <w:t xml:space="preserve">Dünya Tabipler Birliği (WMA) Helsinki Bildirgesi – İnsan Denekli Tıbbi Araştırmalarda Etik İlkeler (güncel revizyonu);</w:t>
      </w:r>
    </w:p>
    <w:p>
      <w:pPr>
        <w:pStyle w:val="ListParagraph"/>
        <w:numPr>
          <w:ilvl w:val="0"/>
          <w:numId w:val="2"/>
        </w:numPr>
        <w:spacing w:after="90" w:line="290"/>
        <w:jc w:val="both"/>
      </w:pPr>
      <w:r>
        <w:rPr>
          <w:color w:val="262626"/>
          <w:sz w:val="21"/>
          <w:szCs w:val="21"/>
        </w:rPr>
        <w:t xml:space="preserve">Belmont Raporu (1979) – Kişilere Saygı, Yararlılık/Zarar Vermeme ve Adalet ilkeleri;</w:t>
      </w:r>
    </w:p>
    <w:p>
      <w:pPr>
        <w:pStyle w:val="ListParagraph"/>
        <w:numPr>
          <w:ilvl w:val="0"/>
          <w:numId w:val="2"/>
        </w:numPr>
        <w:spacing w:after="90" w:line="290"/>
        <w:jc w:val="both"/>
      </w:pPr>
      <w:r>
        <w:rPr>
          <w:color w:val="262626"/>
          <w:sz w:val="21"/>
          <w:szCs w:val="21"/>
        </w:rPr>
        <w:t xml:space="preserve">CIOMS/WHO Uluslararası Sağlık Alanında İnsan Denekli Araştırmalar İçin Etik Kılavuzlar;</w:t>
      </w:r>
    </w:p>
    <w:p>
      <w:pPr>
        <w:pStyle w:val="ListParagraph"/>
        <w:numPr>
          <w:ilvl w:val="0"/>
          <w:numId w:val="2"/>
        </w:numPr>
        <w:spacing w:after="90" w:line="290"/>
        <w:jc w:val="both"/>
      </w:pPr>
      <w:r>
        <w:rPr>
          <w:color w:val="262626"/>
          <w:sz w:val="21"/>
          <w:szCs w:val="21"/>
        </w:rPr>
        <w:t xml:space="preserve">UNESCO Evrensel Biyoetik ve İnsan Hakları Bildirgesi (2005);</w:t>
      </w:r>
    </w:p>
    <w:p>
      <w:pPr>
        <w:pStyle w:val="ListParagraph"/>
        <w:numPr>
          <w:ilvl w:val="0"/>
          <w:numId w:val="2"/>
        </w:numPr>
        <w:spacing w:after="90" w:line="290"/>
        <w:jc w:val="both"/>
      </w:pPr>
      <w:r>
        <w:rPr>
          <w:color w:val="262626"/>
          <w:sz w:val="21"/>
          <w:szCs w:val="21"/>
        </w:rPr>
        <w:t xml:space="preserve">Amerikan Psikoloji Derneği (APA) Etik İlkeler ve Psikologlar İçin Davranış Kuralları;</w:t>
      </w:r>
    </w:p>
    <w:p>
      <w:pPr>
        <w:pStyle w:val="ListParagraph"/>
        <w:numPr>
          <w:ilvl w:val="0"/>
          <w:numId w:val="2"/>
        </w:numPr>
        <w:spacing w:after="90" w:line="290"/>
        <w:jc w:val="both"/>
      </w:pPr>
      <w:r>
        <w:rPr>
          <w:color w:val="262626"/>
          <w:sz w:val="21"/>
          <w:szCs w:val="21"/>
        </w:rPr>
        <w:t xml:space="preserve">İngiliz Psikoloji Derneği (BPS) İnsan Araştırmalarında Etik Davranış Kodu ve Çocuklarla Araştırma Kılavuzu;</w:t>
      </w:r>
    </w:p>
    <w:p>
      <w:pPr>
        <w:pStyle w:val="ListParagraph"/>
        <w:numPr>
          <w:ilvl w:val="0"/>
          <w:numId w:val="2"/>
        </w:numPr>
        <w:spacing w:after="90" w:line="290"/>
        <w:jc w:val="both"/>
      </w:pPr>
      <w:r>
        <w:rPr>
          <w:color w:val="262626"/>
          <w:sz w:val="21"/>
          <w:szCs w:val="21"/>
        </w:rPr>
        <w:t xml:space="preserve">Dünya Sağlık Örgütü (WHO) Araştırma Etiği İnceleme Komitesi (ERC) ilke ve standartları;</w:t>
      </w:r>
    </w:p>
    <w:p>
      <w:pPr>
        <w:pStyle w:val="ListParagraph"/>
        <w:numPr>
          <w:ilvl w:val="0"/>
          <w:numId w:val="2"/>
        </w:numPr>
        <w:spacing w:after="90" w:line="290"/>
        <w:jc w:val="both"/>
      </w:pPr>
      <w:r>
        <w:rPr>
          <w:color w:val="262626"/>
          <w:sz w:val="21"/>
          <w:szCs w:val="21"/>
        </w:rPr>
        <w:t xml:space="preserve">Uluslararası Otizm Araştırmaları Derneği (INSAR) ve benzeri alan-özel bilimsel toplulukların araştırma ve nörolojik farklılığa duyarlı (neurodiversity-affirming) etik yaklaşım önerileri;</w:t>
      </w:r>
    </w:p>
    <w:p>
      <w:pPr>
        <w:pStyle w:val="ListParagraph"/>
        <w:numPr>
          <w:ilvl w:val="0"/>
          <w:numId w:val="2"/>
        </w:numPr>
        <w:spacing w:after="90" w:line="290"/>
        <w:jc w:val="both"/>
      </w:pPr>
      <w:r>
        <w:rPr>
          <w:color w:val="262626"/>
          <w:sz w:val="21"/>
          <w:szCs w:val="21"/>
        </w:rPr>
        <w:t xml:space="preserve">6698 sayılı Kişisel Verilerin Korunması Kanunu (KVKK) ve Avrupa Birliği Genel Veri Koruma Tüzüğü'nün (GDPR) çocuklara ilişkin özel hükümleri;</w:t>
      </w:r>
    </w:p>
    <w:p>
      <w:pPr>
        <w:pStyle w:val="ListParagraph"/>
        <w:numPr>
          <w:ilvl w:val="0"/>
          <w:numId w:val="2"/>
        </w:numPr>
        <w:spacing w:after="90" w:line="290"/>
        <w:jc w:val="both"/>
      </w:pPr>
      <w:r>
        <w:rPr>
          <w:color w:val="262626"/>
          <w:sz w:val="21"/>
          <w:szCs w:val="21"/>
        </w:rPr>
        <w:t xml:space="preserve">2828 sayılı Sosyal Hizmetler Kanunu ve 5395 sayılı Çocuk Koruma Kanunu;</w:t>
      </w:r>
    </w:p>
    <w:p>
      <w:pPr>
        <w:pStyle w:val="ListParagraph"/>
        <w:numPr>
          <w:ilvl w:val="0"/>
          <w:numId w:val="2"/>
        </w:numPr>
        <w:spacing w:after="90" w:line="290"/>
        <w:jc w:val="both"/>
      </w:pPr>
      <w:r>
        <w:rPr>
          <w:color w:val="262626"/>
          <w:sz w:val="21"/>
          <w:szCs w:val="21"/>
        </w:rPr>
        <w:t xml:space="preserve">Türkiye Cumhuriyeti Anayasası'nın kişi hak ve özgürlüklerine ilişkin hükümleri;</w:t>
      </w:r>
    </w:p>
    <w:p>
      <w:pPr>
        <w:pStyle w:val="ListParagraph"/>
        <w:numPr>
          <w:ilvl w:val="0"/>
          <w:numId w:val="2"/>
        </w:numPr>
        <w:spacing w:after="90" w:line="290"/>
        <w:jc w:val="both"/>
      </w:pPr>
      <w:r>
        <w:rPr>
          <w:color w:val="262626"/>
          <w:sz w:val="21"/>
          <w:szCs w:val="21"/>
        </w:rPr>
        <w:t xml:space="preserve">Yükseköğretim Kurulu (YÖK) Bilimsel Araştırma ve Yayın Etiği Yönergesi ile Gazi Üniversitesi Etik Kurulları Yönergesi ve GEBAM Kuruluş Yönetmeliği.</w:t>
      </w:r>
    </w:p>
    <w:p>
      <w:pPr>
        <w:spacing w:after="140" w:line="300"/>
        <w:jc w:val="both"/>
      </w:pPr>
      <w:r>
        <w:rPr>
          <w:i w:val="false"/>
          <w:iCs w:val="false"/>
          <w:color w:val="262626"/>
          <w:sz w:val="21"/>
          <w:szCs w:val="21"/>
        </w:rPr>
        <w:t xml:space="preserve">Ulusal mevzuat ile uluslararası kriterler arasında farklılık bulunması hâlinde, çocuğun yüksek yararını ve daha koruyucu hükmü içeren düzenleme esas alınır.</w:t>
      </w:r>
    </w:p>
    <w:p>
      <w:pPr>
        <w:pStyle w:val="Heading1"/>
        <w:pBdr>
          <w:bottom w:val="single" w:color="1F3864" w:sz="8" w:space="4"/>
        </w:pBdr>
        <w:spacing w:after="180" w:before="380"/>
      </w:pPr>
      <w:r>
        <w:rPr>
          <w:b/>
          <w:bCs/>
          <w:color w:val="1F3864"/>
          <w:sz w:val="27"/>
          <w:szCs w:val="27"/>
        </w:rPr>
        <w:t xml:space="preserve">3. TEMEL ETİK İLKELER</w:t>
      </w:r>
    </w:p>
    <w:p>
      <w:pPr>
        <w:pStyle w:val="Heading2"/>
        <w:spacing w:after="100" w:before="260"/>
      </w:pPr>
      <w:r>
        <w:rPr>
          <w:b/>
          <w:bCs/>
          <w:color w:val="9C6B1F"/>
          <w:sz w:val="23"/>
          <w:szCs w:val="23"/>
        </w:rPr>
        <w:t xml:space="preserve">3.1 Çocuğun Yüksek Yararı (Best Interests of the Child)</w:t>
      </w:r>
    </w:p>
    <w:p>
      <w:pPr>
        <w:spacing w:after="140" w:line="300"/>
        <w:jc w:val="both"/>
      </w:pPr>
      <w:r>
        <w:rPr>
          <w:i w:val="false"/>
          <w:iCs w:val="false"/>
          <w:color w:val="262626"/>
          <w:sz w:val="21"/>
          <w:szCs w:val="21"/>
        </w:rPr>
        <w:t xml:space="preserve">UNCRC madde 3 uyarınca, çocuğu ilgilendiren her karar ve uygulamada çocuğun yüksek yararı öncelikli ve belirleyici husustur. Bilimsel, kurumsal veya eğitsel amaçlar hiçbir koşulda çocuğun fiziksel, duygusal, psikolojik veya sosyal iyi oluşunun önüne geçemez.</w:t>
      </w:r>
    </w:p>
    <w:p>
      <w:pPr>
        <w:pStyle w:val="Heading2"/>
        <w:spacing w:after="100" w:before="260"/>
      </w:pPr>
      <w:r>
        <w:rPr>
          <w:b/>
          <w:bCs/>
          <w:color w:val="9C6B1F"/>
          <w:sz w:val="23"/>
          <w:szCs w:val="23"/>
        </w:rPr>
        <w:t xml:space="preserve">3.2 Gönüllü Katılım, Bilgilendirilmiş Onam ve Çocuğun Rızası</w:t>
      </w:r>
    </w:p>
    <w:p>
      <w:pPr>
        <w:spacing w:after="140" w:line="300"/>
        <w:jc w:val="both"/>
      </w:pPr>
      <w:r>
        <w:rPr>
          <w:i w:val="false"/>
          <w:iCs w:val="false"/>
          <w:color w:val="262626"/>
          <w:sz w:val="21"/>
          <w:szCs w:val="21"/>
        </w:rPr>
        <w:t xml:space="preserve">Her faaliyet öncesinde çocuğun ebeveyninden/yasal vasisinden yazılı, özgür iradeyle verilmiş ve bilgilendirilmiş onam alınır. Onam formunda faaliyetin amacı, yöntemi, süresi, olası riskleri, beklenen yararları, gizlilik koşulları ve çekilme hakkı açık ve anlaşılır bir dille belirtilir.</w:t>
      </w:r>
    </w:p>
    <w:p>
      <w:pPr>
        <w:spacing w:after="140" w:line="300"/>
        <w:jc w:val="both"/>
      </w:pPr>
      <w:r>
        <w:rPr>
          <w:i w:val="false"/>
          <w:iCs w:val="false"/>
          <w:color w:val="262626"/>
          <w:sz w:val="21"/>
          <w:szCs w:val="21"/>
        </w:rPr>
        <w:t xml:space="preserve">Bunun yanı sıra çocuğun kendisinin de, yaşına, gelişim düzeyine ve iletişim kapasitesine uygun biçimde (sözel, görsel, alternatif/destekleyici iletişim araçları vb.) bilgilendirilmesi ve kendi rızasının (assent) alınması esastır. Çocuğun sözel veya sözel olmayan biçimde ifade ettiği isteksizlik, karşı çıkma veya rahatsızlık belirtileri, onam formundaki ebeveyn izninden bağımsız olarak dikkate alınır ve faaliyet derhal durdurulur.</w:t>
      </w:r>
    </w:p>
    <w:p>
      <w:pPr>
        <w:pStyle w:val="Heading2"/>
        <w:spacing w:after="100" w:before="260"/>
      </w:pPr>
      <w:r>
        <w:rPr>
          <w:b/>
          <w:bCs/>
          <w:color w:val="9C6B1F"/>
          <w:sz w:val="23"/>
          <w:szCs w:val="23"/>
        </w:rPr>
        <w:t xml:space="preserve">3.3 Zarar Vermeme ve Koruma İlkesi (Non-Maleficence)</w:t>
      </w:r>
    </w:p>
    <w:p>
      <w:pPr>
        <w:spacing w:after="140" w:line="300"/>
        <w:jc w:val="both"/>
      </w:pPr>
      <w:r>
        <w:rPr>
          <w:i w:val="false"/>
          <w:iCs w:val="false"/>
          <w:color w:val="262626"/>
          <w:sz w:val="21"/>
          <w:szCs w:val="21"/>
        </w:rPr>
        <w:t xml:space="preserve">Tüm görüşme, değerlendirme ve araştırma faaliyetleri; çocuğa fiziksel, duygusal, bilişsel veya sosyal zarar verme riskini en aza indirecek şekilde, alanında yetkin uzmanlar tarafından, uygun ortam ve koşullarda yürütülür. Riskli veya deneysel uygulamalar öncesinde risk-yarar analizi yapılır ve ilgili etik kuruldan onay alınır.</w:t>
      </w:r>
    </w:p>
    <w:p>
      <w:pPr>
        <w:pStyle w:val="Heading2"/>
        <w:spacing w:after="100" w:before="260"/>
      </w:pPr>
      <w:r>
        <w:rPr>
          <w:b/>
          <w:bCs/>
          <w:color w:val="9C6B1F"/>
          <w:sz w:val="23"/>
          <w:szCs w:val="23"/>
        </w:rPr>
        <w:t xml:space="preserve">3.4 Gizlilik ve Kişisel Verilerin Korunması</w:t>
      </w:r>
    </w:p>
    <w:p>
      <w:pPr>
        <w:spacing w:after="140" w:line="300"/>
        <w:jc w:val="both"/>
      </w:pPr>
      <w:r>
        <w:rPr>
          <w:i w:val="false"/>
          <w:iCs w:val="false"/>
          <w:color w:val="262626"/>
          <w:sz w:val="21"/>
          <w:szCs w:val="21"/>
        </w:rPr>
        <w:t xml:space="preserve">Çocuğa ve ailesine ait kimlik bilgileri, tıbbi/gelişimsel veriler, görüşme kayıtları, ses/görüntü kayıtları ve tüm diğer kişisel veriler KVKK ve GDPR standartlarına uygun biçimde toplanır, işlenir ve saklanır. Veriler yalnızca açıkça belirtilen amaçla kullanılır; üçüncü kişi ve kurumlarla paylaşım ancak ayrı ve açık onam alınması veya yasal zorunluluk hâlinde mümkündür. Bilimsel yayın, sunum ve eğitim materyallerinde çocuğun kimliği anonimleştirilir veya kod adı kullanılır.</w:t>
      </w:r>
    </w:p>
    <w:p>
      <w:pPr>
        <w:pStyle w:val="Heading2"/>
        <w:spacing w:after="100" w:before="260"/>
      </w:pPr>
      <w:r>
        <w:rPr>
          <w:b/>
          <w:bCs/>
          <w:color w:val="9C6B1F"/>
          <w:sz w:val="23"/>
          <w:szCs w:val="23"/>
        </w:rPr>
        <w:t xml:space="preserve">3.5 Ayrımcılık Yapmama ve Eşitlik</w:t>
      </w:r>
    </w:p>
    <w:p>
      <w:pPr>
        <w:spacing w:after="140" w:line="300"/>
        <w:jc w:val="both"/>
      </w:pPr>
      <w:r>
        <w:rPr>
          <w:i w:val="false"/>
          <w:iCs w:val="false"/>
          <w:color w:val="262626"/>
          <w:sz w:val="21"/>
          <w:szCs w:val="21"/>
        </w:rPr>
        <w:t xml:space="preserve">Hizmet ve araştırma süreçlerine erişimde çocuğun tanısı, işlevsellik düzeyi, etnik kökeni, cinsiyeti, dini, ailesinin sosyoekonomik durumu veya herhangi bir başka özelliği temelinde ayrımcılık yapılmaz. Otizm ve gelişimsel farklılığa sahip çocukların onuruna saygı, nörolojik farklılığı patolojikleştirmeyen, güçlü yönleri de gözeten bir yaklaşımla sağlanır.</w:t>
      </w:r>
    </w:p>
    <w:p>
      <w:pPr>
        <w:pStyle w:val="Heading2"/>
        <w:spacing w:after="100" w:before="260"/>
      </w:pPr>
      <w:r>
        <w:rPr>
          <w:b/>
          <w:bCs/>
          <w:color w:val="9C6B1F"/>
          <w:sz w:val="23"/>
          <w:szCs w:val="23"/>
        </w:rPr>
        <w:t xml:space="preserve">3.6 Şeffaflık ve Bilgilendirilme Hakkı</w:t>
      </w:r>
    </w:p>
    <w:p>
      <w:pPr>
        <w:spacing w:after="140" w:line="300"/>
        <w:jc w:val="both"/>
      </w:pPr>
      <w:r>
        <w:rPr>
          <w:i w:val="false"/>
          <w:iCs w:val="false"/>
          <w:color w:val="262626"/>
          <w:sz w:val="21"/>
          <w:szCs w:val="21"/>
        </w:rPr>
        <w:t xml:space="preserve">Aileler ve uygun olduğu ölçüde çocuklar, sürecin her aşamasında anlaşılır biçimde bilgilendirilir; değerlendirme ve araştırma sonuçlarına erişim hakları saklıdır. Yanıltıcı bilgi verilmesi (deception) ancak bilimsel olarak zorunlu, alternatif yöntemi bulunmayan ve ilgili etik kurulca onaylanan istisnai durumlarda, faaliyet sonrasında tam bir bilgilendirme (debriefing) yapılması koşuluyla söz konusu olabilir; çocuklarla yürütülen araştırmalarda bu istisna son derece sınırlı tutulur.</w:t>
      </w:r>
    </w:p>
    <w:p>
      <w:pPr>
        <w:pStyle w:val="Heading2"/>
        <w:spacing w:after="100" w:before="260"/>
      </w:pPr>
      <w:r>
        <w:rPr>
          <w:b/>
          <w:bCs/>
          <w:color w:val="9C6B1F"/>
          <w:sz w:val="23"/>
          <w:szCs w:val="23"/>
        </w:rPr>
        <w:t xml:space="preserve">3.7 Her Zaman Çekilme Hakkı</w:t>
      </w:r>
    </w:p>
    <w:p>
      <w:pPr>
        <w:spacing w:after="140" w:line="300"/>
        <w:jc w:val="both"/>
      </w:pPr>
      <w:r>
        <w:rPr>
          <w:i w:val="false"/>
          <w:iCs w:val="false"/>
          <w:color w:val="262626"/>
          <w:sz w:val="21"/>
          <w:szCs w:val="21"/>
        </w:rPr>
        <w:t xml:space="preserve">Aile ve/veya çocuk, herhangi bir gerekçe göstermeksizin ve hiçbir olumsuz sonuçla (hizmetten mahrum bırakılma, ilişkinin olumsuz etkilenmesi vb.) karşılaşmaksızın, sürecin herhangi bir aşamasında katılımdan çekilebilir. Çekilme talebi üzerine, yasal saklama yükümlülükleri saklı kalmak kaydıyla, o ana kadar toplanan veriler ailenin talebi doğrultusunda imha edilebilir.</w:t>
      </w:r>
    </w:p>
    <w:p>
      <w:pPr>
        <w:pStyle w:val="Heading2"/>
        <w:spacing w:after="100" w:before="260"/>
      </w:pPr>
      <w:r>
        <w:rPr>
          <w:b/>
          <w:bCs/>
          <w:color w:val="9C6B1F"/>
          <w:sz w:val="23"/>
          <w:szCs w:val="23"/>
        </w:rPr>
        <w:t xml:space="preserve">3.8 Uygulayıcı Ehliyeti ve Mesleki Yetkinlik</w:t>
      </w:r>
    </w:p>
    <w:p>
      <w:pPr>
        <w:spacing w:after="140" w:line="300"/>
        <w:jc w:val="both"/>
      </w:pPr>
      <w:r>
        <w:rPr>
          <w:i w:val="false"/>
          <w:iCs w:val="false"/>
          <w:color w:val="262626"/>
          <w:sz w:val="21"/>
          <w:szCs w:val="21"/>
        </w:rPr>
        <w:t xml:space="preserve">Çocuklarla doğrudan temas gerektiren tüm görüşme, değerlendirme ve müdahale faaliyetleri, ilgili alanda (klinik psikoloji, gelişim psikolojisi, özel eğitim, çocuk ve ergen psikiyatrisi, dil ve konuşma terapisi vb.) yetkin, gerekli eğitim ve sertifikasyona sahip uzmanlarca; stajyer ve öğrencilerin katılımı ise daima bir sorumlu uzmanın doğrudan gözetimi altında yürütülür. Tüm personel çocuk koruma politikaları konusunda düzenli olarak eğitilir.</w:t>
      </w:r>
    </w:p>
    <w:p>
      <w:pPr>
        <w:pStyle w:val="Heading2"/>
        <w:spacing w:after="100" w:before="260"/>
      </w:pPr>
      <w:r>
        <w:rPr>
          <w:b/>
          <w:bCs/>
          <w:color w:val="9C6B1F"/>
          <w:sz w:val="23"/>
          <w:szCs w:val="23"/>
        </w:rPr>
        <w:t xml:space="preserve">3.9 Otizm ve Gelişimsel Bozukluğu Olan Çocuklara Özgü Ek Duyarlılıklar</w:t>
      </w:r>
    </w:p>
    <w:p>
      <w:pPr>
        <w:spacing w:after="140" w:line="300"/>
        <w:jc w:val="both"/>
      </w:pPr>
      <w:r>
        <w:rPr>
          <w:i w:val="false"/>
          <w:iCs w:val="false"/>
          <w:color w:val="262626"/>
          <w:sz w:val="21"/>
          <w:szCs w:val="21"/>
        </w:rPr>
        <w:t xml:space="preserve">GEBAM'ın hizmet verdiği çocukların bir kısmının iletişim, duyusal işleme veya bilişsel süreçlerde farklılıklar gösterebileceği gerçeği gözetilerek; bilgilendirme ve onam süreçleri her çocuğun bireysel iletişim profiline uyarlanır (görsel destekler, sosyal öyküler, basitleştirilmiş dil vb.). Duyusal aşırı yüklenme, rutin değişikliği veya yabancı ortam kaynaklı stres etkenleri en aza indirilir; gerektiğinde mola, tanıdık kişinin eşliği veya ortam düzenlemesi sağlanır.</w:t>
      </w:r>
    </w:p>
    <w:p>
      <w:pPr>
        <w:pStyle w:val="Heading2"/>
        <w:spacing w:after="100" w:before="260"/>
      </w:pPr>
      <w:r>
        <w:rPr>
          <w:b/>
          <w:bCs/>
          <w:color w:val="9C6B1F"/>
          <w:sz w:val="23"/>
          <w:szCs w:val="23"/>
        </w:rPr>
        <w:t xml:space="preserve">3.10 Ses/Görüntü Kaydı ve Kullanım İzni</w:t>
      </w:r>
    </w:p>
    <w:p>
      <w:pPr>
        <w:spacing w:after="140" w:line="300"/>
        <w:jc w:val="both"/>
      </w:pPr>
      <w:r>
        <w:rPr>
          <w:i w:val="false"/>
          <w:iCs w:val="false"/>
          <w:color w:val="262626"/>
          <w:sz w:val="21"/>
          <w:szCs w:val="21"/>
        </w:rPr>
        <w:t xml:space="preserve">Görüşme, oturum veya araştırma kapsamında yapılacak her türlü ses, görüntü veya video kaydı için ayrı ve özel bir onam alınır. Onamda kaydın amacı, saklama süresi, kimlerin erişebileceği ve (varsa) bilimsel/eğitsel amaçlarla kullanım kapsamı ayrı ayrı belirtilir. Onaylanan kullanım amacı dışında hiçbir kayıt kullanılamaz, paylaşılamaz veya yayımlanamaz.</w:t>
      </w:r>
    </w:p>
    <w:p>
      <w:pPr>
        <w:pStyle w:val="Heading2"/>
        <w:spacing w:after="100" w:before="260"/>
      </w:pPr>
      <w:r>
        <w:rPr>
          <w:b/>
          <w:bCs/>
          <w:color w:val="9C6B1F"/>
          <w:sz w:val="23"/>
          <w:szCs w:val="23"/>
        </w:rPr>
        <w:t xml:space="preserve">3.11 Veri Saklama, Anonimleştirme ve İmha</w:t>
      </w:r>
    </w:p>
    <w:p>
      <w:pPr>
        <w:spacing w:after="140" w:line="300"/>
        <w:jc w:val="both"/>
      </w:pPr>
      <w:r>
        <w:rPr>
          <w:i w:val="false"/>
          <w:iCs w:val="false"/>
          <w:color w:val="262626"/>
          <w:sz w:val="21"/>
          <w:szCs w:val="21"/>
        </w:rPr>
        <w:t xml:space="preserve">Toplanan veriler güvenli, erişimi sınırlandırılmış ortamlarda saklanır; saklama süreleri ilgili mevzuat ve kurumsal veri yönetim politikası ile belirlenir, süre sonunda veriler güvenli biçimde imha edilir veya geri döndürülemez şekilde anonimleştirilir. Araştırma verileri mümkün olduğunca en erken aşamada anonimleştirilir.</w:t>
      </w:r>
    </w:p>
    <w:p>
      <w:pPr>
        <w:pStyle w:val="Heading2"/>
        <w:spacing w:after="100" w:before="260"/>
      </w:pPr>
      <w:r>
        <w:rPr>
          <w:b/>
          <w:bCs/>
          <w:color w:val="9C6B1F"/>
          <w:sz w:val="23"/>
          <w:szCs w:val="23"/>
        </w:rPr>
        <w:t xml:space="preserve">3.12 Etik Kurul Onayı, İzleme ve Denetim</w:t>
      </w:r>
    </w:p>
    <w:p>
      <w:pPr>
        <w:spacing w:after="140" w:line="300"/>
        <w:jc w:val="both"/>
      </w:pPr>
      <w:r>
        <w:rPr>
          <w:i w:val="false"/>
          <w:iCs w:val="false"/>
          <w:color w:val="262626"/>
          <w:sz w:val="21"/>
          <w:szCs w:val="21"/>
        </w:rPr>
        <w:t xml:space="preserve">Çocuklarla yürütülecek her araştırma projesi, uygulama öncesinde Gazi Üniversitesi ilgili Etik Kurulu'nun (Girişimsel Olmayan/İnsan Araştırmaları Etik Kurulu vb.) onayına sunulur ve onay alınmadan hiçbir veri toplama faaliyetine başlanmaz. Devam eden projeler düzenli olarak izlenir; onaylanan protokolde değişiklik gerektiren durumlar yeniden Etik Kurul onayına tabidir.</w:t>
      </w:r>
    </w:p>
    <w:p>
      <w:pPr>
        <w:pStyle w:val="Heading2"/>
        <w:spacing w:after="100" w:before="260"/>
      </w:pPr>
      <w:r>
        <w:rPr>
          <w:b/>
          <w:bCs/>
          <w:color w:val="9C6B1F"/>
          <w:sz w:val="23"/>
          <w:szCs w:val="23"/>
        </w:rPr>
        <w:t xml:space="preserve">3.13 Çıkar Çatışmasının Yönetimi</w:t>
      </w:r>
    </w:p>
    <w:p>
      <w:pPr>
        <w:spacing w:after="140" w:line="300"/>
        <w:jc w:val="both"/>
      </w:pPr>
      <w:r>
        <w:rPr>
          <w:i w:val="false"/>
          <w:iCs w:val="false"/>
          <w:color w:val="262626"/>
          <w:sz w:val="21"/>
          <w:szCs w:val="21"/>
        </w:rPr>
        <w:t xml:space="preserve">Araştırmacı ve uygulayıcılar, çocuk veya ailesiyle olan mesleki ilişkilerini etkileyebilecek her türlü mali, kurumsal veya kişisel çıkar çatışmasını önceden beyan eder ve bu durumların karar alma süreçlerini etkilemesine izin vermez.</w:t>
      </w:r>
    </w:p>
    <w:p>
      <w:pPr>
        <w:pStyle w:val="Heading2"/>
        <w:spacing w:after="100" w:before="260"/>
      </w:pPr>
      <w:r>
        <w:rPr>
          <w:b/>
          <w:bCs/>
          <w:color w:val="9C6B1F"/>
          <w:sz w:val="23"/>
          <w:szCs w:val="23"/>
        </w:rPr>
        <w:t xml:space="preserve">3.14 Çocuk İstismarı ve İhmaline İlişkin Bildirim Yükümlülüğü</w:t>
      </w:r>
    </w:p>
    <w:p>
      <w:pPr>
        <w:spacing w:after="140" w:line="300"/>
        <w:jc w:val="both"/>
      </w:pPr>
      <w:r>
        <w:rPr>
          <w:i w:val="false"/>
          <w:iCs w:val="false"/>
          <w:color w:val="262626"/>
          <w:sz w:val="21"/>
          <w:szCs w:val="21"/>
        </w:rPr>
        <w:t xml:space="preserve">Faaliyetler sırasında çocuğun istismara, ihmale veya herhangi bir şekilde zarara uğradığına dair makul şüphe oluşması hâlinde, ilgili personel 5395 sayılı Çocuk Koruma Kanunu ve ilgili mevzuat uyarınca durumu derhal yetkili mercilere (Aile ve Sosyal Hizmetler Bakanlığı, adli makamlar vb.) bildirmekle yükümlüdür. Bu yükümlülük, gizlilik ilkesinin istisnasını oluşturur ve tüm personele önceden açıkça duyurulur.</w:t>
      </w:r>
    </w:p>
    <w:p>
      <w:pPr>
        <w:pStyle w:val="Heading2"/>
        <w:spacing w:after="100" w:before="260"/>
      </w:pPr>
      <w:r>
        <w:rPr>
          <w:b/>
          <w:bCs/>
          <w:color w:val="9C6B1F"/>
          <w:sz w:val="23"/>
          <w:szCs w:val="23"/>
        </w:rPr>
        <w:t xml:space="preserve">3.15 Kültürel Duyarlılık ve Aile Merkezli Yaklaşım</w:t>
      </w:r>
    </w:p>
    <w:p>
      <w:pPr>
        <w:spacing w:after="140" w:line="300"/>
        <w:jc w:val="both"/>
      </w:pPr>
      <w:r>
        <w:rPr>
          <w:i w:val="false"/>
          <w:iCs w:val="false"/>
          <w:color w:val="262626"/>
          <w:sz w:val="21"/>
          <w:szCs w:val="21"/>
        </w:rPr>
        <w:t xml:space="preserve">Görüşme ve değerlendirme süreçlerinde çocuğun ve ailesinin kültürel, dilsel ve dini bağlamı gözetilir; aile, çocuğun bakımı ve kararlarına ilişkin süreçte etkin bir paydaş olarak kabul edilir.</w:t>
      </w:r>
    </w:p>
    <w:p>
      <w:pPr>
        <w:pStyle w:val="Heading1"/>
        <w:pBdr>
          <w:bottom w:val="single" w:color="1F3864" w:sz="8" w:space="4"/>
        </w:pBdr>
        <w:spacing w:after="180" w:before="380"/>
      </w:pPr>
      <w:r>
        <w:rPr>
          <w:b/>
          <w:bCs/>
          <w:color w:val="1F3864"/>
          <w:sz w:val="27"/>
          <w:szCs w:val="27"/>
        </w:rPr>
        <w:t xml:space="preserve">4. UYGULAMA SÜREÇLERİ</w:t>
      </w:r>
    </w:p>
    <w:p>
      <w:pPr>
        <w:pStyle w:val="ListParagraph"/>
        <w:numPr>
          <w:ilvl w:val="0"/>
          <w:numId w:val="2"/>
        </w:numPr>
        <w:spacing w:after="90" w:line="290"/>
        <w:jc w:val="both"/>
      </w:pPr>
      <w:r>
        <w:rPr>
          <w:color w:val="262626"/>
          <w:sz w:val="21"/>
          <w:szCs w:val="21"/>
        </w:rPr>
        <w:t xml:space="preserve">Her faaliyet öncesinde standart bilgilendirilmiş onam formu ve çocuğa yönelik yaşa uygun bilgilendirme materyali kullanılır.</w:t>
      </w:r>
    </w:p>
    <w:p>
      <w:pPr>
        <w:pStyle w:val="ListParagraph"/>
        <w:numPr>
          <w:ilvl w:val="0"/>
          <w:numId w:val="2"/>
        </w:numPr>
        <w:spacing w:after="90" w:line="290"/>
        <w:jc w:val="both"/>
      </w:pPr>
      <w:r>
        <w:rPr>
          <w:color w:val="262626"/>
          <w:sz w:val="21"/>
          <w:szCs w:val="21"/>
        </w:rPr>
        <w:t xml:space="preserve">Araştırma nitelikli tüm çalışmalar için Etik Kurul başvurusu zorunludur; onay belgesi olmadan veri toplama süreci başlatılamaz.</w:t>
      </w:r>
    </w:p>
    <w:p>
      <w:pPr>
        <w:pStyle w:val="ListParagraph"/>
        <w:numPr>
          <w:ilvl w:val="0"/>
          <w:numId w:val="2"/>
        </w:numPr>
        <w:spacing w:after="90" w:line="290"/>
        <w:jc w:val="both"/>
      </w:pPr>
      <w:r>
        <w:rPr>
          <w:color w:val="262626"/>
          <w:sz w:val="21"/>
          <w:szCs w:val="21"/>
        </w:rPr>
        <w:t xml:space="preserve">Onam formları, kayıtlar ve araştırma verileri GEBAM Veri Yönetim Politikası'na uygun biçimde arşivlenir.</w:t>
      </w:r>
    </w:p>
    <w:p>
      <w:pPr>
        <w:pStyle w:val="ListParagraph"/>
        <w:numPr>
          <w:ilvl w:val="0"/>
          <w:numId w:val="2"/>
        </w:numPr>
        <w:spacing w:after="90" w:line="290"/>
        <w:jc w:val="both"/>
      </w:pPr>
      <w:r>
        <w:rPr>
          <w:color w:val="262626"/>
          <w:sz w:val="21"/>
          <w:szCs w:val="21"/>
        </w:rPr>
        <w:t xml:space="preserve">Bu Belge, GEBAM'ın kalite ve mevzuat uyum süreçleri kapsamında düzenli olarak (en az yılda bir kez) gözden geçirilir ve güncellenir.</w:t>
      </w:r>
    </w:p>
    <w:p>
      <w:pPr>
        <w:pStyle w:val="Heading1"/>
        <w:pBdr>
          <w:bottom w:val="single" w:color="1F3864" w:sz="8" w:space="4"/>
        </w:pBdr>
        <w:spacing w:after="180" w:before="380"/>
      </w:pPr>
      <w:r>
        <w:rPr>
          <w:b/>
          <w:bCs/>
          <w:color w:val="1F3864"/>
          <w:sz w:val="27"/>
          <w:szCs w:val="27"/>
        </w:rPr>
        <w:t xml:space="preserve">5. BEYAN</w:t>
      </w:r>
    </w:p>
    <w:p>
      <w:pPr>
        <w:spacing w:after="140" w:line="300"/>
        <w:jc w:val="both"/>
      </w:pPr>
      <w:r>
        <w:rPr>
          <w:i w:val="false"/>
          <w:iCs w:val="false"/>
          <w:color w:val="262626"/>
          <w:sz w:val="21"/>
          <w:szCs w:val="21"/>
        </w:rPr>
        <w:t xml:space="preserve">GEBAM bünyesinde görev alan her araştırmacı, klinisyen, danışman, öğrenci, stajyer ve gönüllü; bu Belge'de yer alan ilkeleri okuduğunu, anladığını ve tüm faaliyetlerinde eksiksiz biçimde uygulayacağını beyan ve taahhüt eder.</w:t>
      </w:r>
    </w:p>
    <w:p>
      <w:r>
        <w:br w:type="page"/>
      </w:r>
    </w:p>
    <w:p>
      <w:pPr>
        <w:pBdr>
          <w:bottom w:val="single" w:color="1F3864" w:sz="18" w:space="6"/>
        </w:pBdr>
        <w:spacing w:after="360" w:before="200"/>
        <w:jc w:val="center"/>
      </w:pPr>
      <w:r>
        <w:rPr>
          <w:b/>
          <w:bCs/>
          <w:color w:val="1F3864"/>
          <w:sz w:val="30"/>
          <w:szCs w:val="30"/>
        </w:rPr>
        <w:t xml:space="preserve">PART II — ENGLISH TEXT</w:t>
      </w:r>
    </w:p>
    <w:p>
      <w:pPr>
        <w:pStyle w:val="Heading1"/>
        <w:pBdr>
          <w:bottom w:val="single" w:color="1F3864" w:sz="8" w:space="4"/>
        </w:pBdr>
        <w:spacing w:after="180" w:before="380"/>
      </w:pPr>
      <w:r>
        <w:rPr>
          <w:b/>
          <w:bCs/>
          <w:color w:val="1F3864"/>
          <w:sz w:val="27"/>
          <w:szCs w:val="27"/>
        </w:rPr>
        <w:t xml:space="preserve">1. PURPOSE AND SCOPE</w:t>
      </w:r>
    </w:p>
    <w:p>
      <w:pPr>
        <w:spacing w:after="140" w:line="300"/>
        <w:jc w:val="both"/>
      </w:pPr>
      <w:r>
        <w:rPr>
          <w:i w:val="false"/>
          <w:iCs w:val="false"/>
          <w:color w:val="262626"/>
          <w:sz w:val="21"/>
          <w:szCs w:val="21"/>
        </w:rPr>
        <w:t xml:space="preserve">This Ethical Declaration Document (the "Declaration") sets out the ethical principles and standards to be observed in all clinical interviews, developmental/psychological/educational assessments, scientific research, observation, data collection, counselling, therapeutic interventions, camps/workshops, and any related activity involving children (aged 0-18) conducted at the Gazi University Centre for Applied Research on Autism and Developmental Disorders (GEBAM).</w:t>
      </w:r>
    </w:p>
    <w:p>
      <w:pPr>
        <w:spacing w:after="140" w:line="300"/>
        <w:jc w:val="both"/>
      </w:pPr>
      <w:r>
        <w:rPr>
          <w:i w:val="false"/>
          <w:iCs w:val="false"/>
          <w:color w:val="262626"/>
          <w:sz w:val="21"/>
          <w:szCs w:val="21"/>
        </w:rPr>
        <w:t xml:space="preserve">This Declaration is binding upon all academic staff, clinicians, specialists, researchers, counsellors, students, interns, volunteers, and any third-party individuals or institutions collaborating with GEBAM. Its provisions apply to every direct or indirect contact with the child, the child's family, or the child's legal guardian.</w:t>
      </w:r>
    </w:p>
    <w:p>
      <w:pPr>
        <w:pStyle w:val="Heading1"/>
        <w:pBdr>
          <w:bottom w:val="single" w:color="1F3864" w:sz="8" w:space="4"/>
        </w:pBdr>
        <w:spacing w:after="180" w:before="380"/>
      </w:pPr>
      <w:r>
        <w:rPr>
          <w:b/>
          <w:bCs/>
          <w:color w:val="1F3864"/>
          <w:sz w:val="27"/>
          <w:szCs w:val="27"/>
        </w:rPr>
        <w:t xml:space="preserve">2. UNDERLYING INTERNATIONAL AND NATIONAL CRITERIA</w:t>
      </w:r>
    </w:p>
    <w:p>
      <w:pPr>
        <w:spacing w:after="140" w:line="300"/>
        <w:jc w:val="both"/>
      </w:pPr>
      <w:r>
        <w:rPr>
          <w:i w:val="false"/>
          <w:iCs w:val="false"/>
          <w:color w:val="262626"/>
          <w:sz w:val="21"/>
          <w:szCs w:val="21"/>
        </w:rPr>
        <w:t xml:space="preserve">GEBAM conducts its activities in full compliance with the international conventions, declarations and ethical guidelines listed below, together with applicable national legislation, and treats the principles contained therein as minimum standards:</w:t>
      </w:r>
    </w:p>
    <w:p>
      <w:pPr>
        <w:pStyle w:val="ListParagraph"/>
        <w:numPr>
          <w:ilvl w:val="0"/>
          <w:numId w:val="2"/>
        </w:numPr>
        <w:spacing w:after="90" w:line="290"/>
        <w:jc w:val="both"/>
      </w:pPr>
      <w:r>
        <w:rPr>
          <w:color w:val="262626"/>
          <w:sz w:val="21"/>
          <w:szCs w:val="21"/>
        </w:rPr>
        <w:t xml:space="preserve">The United Nations Convention on the Rights of the Child (UNCRC, 1989) and its Optional Protocols;</w:t>
      </w:r>
    </w:p>
    <w:p>
      <w:pPr>
        <w:pStyle w:val="ListParagraph"/>
        <w:numPr>
          <w:ilvl w:val="0"/>
          <w:numId w:val="2"/>
        </w:numPr>
        <w:spacing w:after="90" w:line="290"/>
        <w:jc w:val="both"/>
      </w:pPr>
      <w:r>
        <w:rPr>
          <w:color w:val="262626"/>
          <w:sz w:val="21"/>
          <w:szCs w:val="21"/>
        </w:rPr>
        <w:t xml:space="preserve">The World Medical Association (WMA) Declaration of Helsinki – Ethical Principles for Medical Research Involving Human Subjects (current revision);</w:t>
      </w:r>
    </w:p>
    <w:p>
      <w:pPr>
        <w:pStyle w:val="ListParagraph"/>
        <w:numPr>
          <w:ilvl w:val="0"/>
          <w:numId w:val="2"/>
        </w:numPr>
        <w:spacing w:after="90" w:line="290"/>
        <w:jc w:val="both"/>
      </w:pPr>
      <w:r>
        <w:rPr>
          <w:color w:val="262626"/>
          <w:sz w:val="21"/>
          <w:szCs w:val="21"/>
        </w:rPr>
        <w:t xml:space="preserve">The Belmont Report (1979) – the principles of Respect for Persons, Beneficence/Non-Maleficence, and Justice;</w:t>
      </w:r>
    </w:p>
    <w:p>
      <w:pPr>
        <w:pStyle w:val="ListParagraph"/>
        <w:numPr>
          <w:ilvl w:val="0"/>
          <w:numId w:val="2"/>
        </w:numPr>
        <w:spacing w:after="90" w:line="290"/>
        <w:jc w:val="both"/>
      </w:pPr>
      <w:r>
        <w:rPr>
          <w:color w:val="262626"/>
          <w:sz w:val="21"/>
          <w:szCs w:val="21"/>
        </w:rPr>
        <w:t xml:space="preserve">The CIOMS/WHO International Ethical Guidelines for Health-related Research Involving Humans;</w:t>
      </w:r>
    </w:p>
    <w:p>
      <w:pPr>
        <w:pStyle w:val="ListParagraph"/>
        <w:numPr>
          <w:ilvl w:val="0"/>
          <w:numId w:val="2"/>
        </w:numPr>
        <w:spacing w:after="90" w:line="290"/>
        <w:jc w:val="both"/>
      </w:pPr>
      <w:r>
        <w:rPr>
          <w:color w:val="262626"/>
          <w:sz w:val="21"/>
          <w:szCs w:val="21"/>
        </w:rPr>
        <w:t xml:space="preserve">The UNESCO Universal Declaration on Bioethics and Human Rights (2005);</w:t>
      </w:r>
    </w:p>
    <w:p>
      <w:pPr>
        <w:pStyle w:val="ListParagraph"/>
        <w:numPr>
          <w:ilvl w:val="0"/>
          <w:numId w:val="2"/>
        </w:numPr>
        <w:spacing w:after="90" w:line="290"/>
        <w:jc w:val="both"/>
      </w:pPr>
      <w:r>
        <w:rPr>
          <w:color w:val="262626"/>
          <w:sz w:val="21"/>
          <w:szCs w:val="21"/>
        </w:rPr>
        <w:t xml:space="preserve">The American Psychological Association (APA) Ethical Principles of Psychologists and Code of Conduct;</w:t>
      </w:r>
    </w:p>
    <w:p>
      <w:pPr>
        <w:pStyle w:val="ListParagraph"/>
        <w:numPr>
          <w:ilvl w:val="0"/>
          <w:numId w:val="2"/>
        </w:numPr>
        <w:spacing w:after="90" w:line="290"/>
        <w:jc w:val="both"/>
      </w:pPr>
      <w:r>
        <w:rPr>
          <w:color w:val="262626"/>
          <w:sz w:val="21"/>
          <w:szCs w:val="21"/>
        </w:rPr>
        <w:t xml:space="preserve">The British Psychological Society (BPS) Code of Human Research Ethics and its guidance on research with children;</w:t>
      </w:r>
    </w:p>
    <w:p>
      <w:pPr>
        <w:pStyle w:val="ListParagraph"/>
        <w:numPr>
          <w:ilvl w:val="0"/>
          <w:numId w:val="2"/>
        </w:numPr>
        <w:spacing w:after="90" w:line="290"/>
        <w:jc w:val="both"/>
      </w:pPr>
      <w:r>
        <w:rPr>
          <w:color w:val="262626"/>
          <w:sz w:val="21"/>
          <w:szCs w:val="21"/>
        </w:rPr>
        <w:t xml:space="preserve">The World Health Organization (WHO) Research Ethics Review Committee (ERC) principles and standards;</w:t>
      </w:r>
    </w:p>
    <w:p>
      <w:pPr>
        <w:pStyle w:val="ListParagraph"/>
        <w:numPr>
          <w:ilvl w:val="0"/>
          <w:numId w:val="2"/>
        </w:numPr>
        <w:spacing w:after="90" w:line="290"/>
        <w:jc w:val="both"/>
      </w:pPr>
      <w:r>
        <w:rPr>
          <w:color w:val="262626"/>
          <w:sz w:val="21"/>
          <w:szCs w:val="21"/>
        </w:rPr>
        <w:t xml:space="preserve">Guidance from the International Society for Autism Research (INSAR) and comparable field-specific scientific bodies on neurodiversity-affirming, ethically sensitive research approaches;</w:t>
      </w:r>
    </w:p>
    <w:p>
      <w:pPr>
        <w:pStyle w:val="ListParagraph"/>
        <w:numPr>
          <w:ilvl w:val="0"/>
          <w:numId w:val="2"/>
        </w:numPr>
        <w:spacing w:after="90" w:line="290"/>
        <w:jc w:val="both"/>
      </w:pPr>
      <w:r>
        <w:rPr>
          <w:color w:val="262626"/>
          <w:sz w:val="21"/>
          <w:szCs w:val="21"/>
        </w:rPr>
        <w:t xml:space="preserve">Law No. 6698 on the Protection of Personal Data (KVKK) and the child-specific provisions of the EU General Data Protection Regulation (GDPR);</w:t>
      </w:r>
    </w:p>
    <w:p>
      <w:pPr>
        <w:pStyle w:val="ListParagraph"/>
        <w:numPr>
          <w:ilvl w:val="0"/>
          <w:numId w:val="2"/>
        </w:numPr>
        <w:spacing w:after="90" w:line="290"/>
        <w:jc w:val="both"/>
      </w:pPr>
      <w:r>
        <w:rPr>
          <w:color w:val="262626"/>
          <w:sz w:val="21"/>
          <w:szCs w:val="21"/>
        </w:rPr>
        <w:t xml:space="preserve">Law No. 2828 on Social Services and Law No. 5395 on the Protection of Children;</w:t>
      </w:r>
    </w:p>
    <w:p>
      <w:pPr>
        <w:pStyle w:val="ListParagraph"/>
        <w:numPr>
          <w:ilvl w:val="0"/>
          <w:numId w:val="2"/>
        </w:numPr>
        <w:spacing w:after="90" w:line="290"/>
        <w:jc w:val="both"/>
      </w:pPr>
      <w:r>
        <w:rPr>
          <w:color w:val="262626"/>
          <w:sz w:val="21"/>
          <w:szCs w:val="21"/>
        </w:rPr>
        <w:t xml:space="preserve">The provisions of the Constitution of the Republic of Turkey concerning personal rights and freedoms;</w:t>
      </w:r>
    </w:p>
    <w:p>
      <w:pPr>
        <w:pStyle w:val="ListParagraph"/>
        <w:numPr>
          <w:ilvl w:val="0"/>
          <w:numId w:val="2"/>
        </w:numPr>
        <w:spacing w:after="90" w:line="290"/>
        <w:jc w:val="both"/>
      </w:pPr>
      <w:r>
        <w:rPr>
          <w:color w:val="262626"/>
          <w:sz w:val="21"/>
          <w:szCs w:val="21"/>
        </w:rPr>
        <w:t xml:space="preserve">The Council of Higher Education (YÖK) Directive on Scientific Research and Publication Ethics, the Gazi University Directives on Ethics Committees, and the GEBAM Founding Regulation.</w:t>
      </w:r>
    </w:p>
    <w:p>
      <w:pPr>
        <w:spacing w:after="140" w:line="300"/>
        <w:jc w:val="both"/>
      </w:pPr>
      <w:r>
        <w:rPr>
          <w:i w:val="false"/>
          <w:iCs w:val="false"/>
          <w:color w:val="262626"/>
          <w:sz w:val="21"/>
          <w:szCs w:val="21"/>
        </w:rPr>
        <w:t xml:space="preserve">Where national legislation and international criteria diverge, the provision offering the greater protection and best serving the interests of the child shall prevail.</w:t>
      </w:r>
    </w:p>
    <w:p>
      <w:pPr>
        <w:pStyle w:val="Heading1"/>
        <w:pBdr>
          <w:bottom w:val="single" w:color="1F3864" w:sz="8" w:space="4"/>
        </w:pBdr>
        <w:spacing w:after="180" w:before="380"/>
      </w:pPr>
      <w:r>
        <w:rPr>
          <w:b/>
          <w:bCs/>
          <w:color w:val="1F3864"/>
          <w:sz w:val="27"/>
          <w:szCs w:val="27"/>
        </w:rPr>
        <w:t xml:space="preserve">3. CORE ETHICAL PRINCIPLES</w:t>
      </w:r>
    </w:p>
    <w:p>
      <w:pPr>
        <w:pStyle w:val="Heading2"/>
        <w:spacing w:after="100" w:before="260"/>
      </w:pPr>
      <w:r>
        <w:rPr>
          <w:b/>
          <w:bCs/>
          <w:color w:val="9C6B1F"/>
          <w:sz w:val="23"/>
          <w:szCs w:val="23"/>
        </w:rPr>
        <w:t xml:space="preserve">3.1 Best Interests of the Child</w:t>
      </w:r>
    </w:p>
    <w:p>
      <w:pPr>
        <w:spacing w:after="140" w:line="300"/>
        <w:jc w:val="both"/>
      </w:pPr>
      <w:r>
        <w:rPr>
          <w:i w:val="false"/>
          <w:iCs w:val="false"/>
          <w:color w:val="262626"/>
          <w:sz w:val="21"/>
          <w:szCs w:val="21"/>
        </w:rPr>
        <w:t xml:space="preserve">In accordance with Article 3 of the UNCRC, the best interests of the child shall be a primary and determining consideration in every decision and practice concerning the child. Scientific, institutional or educational objectives shall under no circumstances take precedence over the child's physical, emotional, psychological or social well-being.</w:t>
      </w:r>
    </w:p>
    <w:p>
      <w:pPr>
        <w:pStyle w:val="Heading2"/>
        <w:spacing w:after="100" w:before="260"/>
      </w:pPr>
      <w:r>
        <w:rPr>
          <w:b/>
          <w:bCs/>
          <w:color w:val="9C6B1F"/>
          <w:sz w:val="23"/>
          <w:szCs w:val="23"/>
        </w:rPr>
        <w:t xml:space="preserve">3.2 Voluntary Participation, Informed Consent, and the Child's Assent</w:t>
      </w:r>
    </w:p>
    <w:p>
      <w:pPr>
        <w:spacing w:after="140" w:line="300"/>
        <w:jc w:val="both"/>
      </w:pPr>
      <w:r>
        <w:rPr>
          <w:i w:val="false"/>
          <w:iCs w:val="false"/>
          <w:color w:val="262626"/>
          <w:sz w:val="21"/>
          <w:szCs w:val="21"/>
        </w:rPr>
        <w:t xml:space="preserve">Prior to any activity, written, freely given and informed consent is obtained from the child's parent/legal guardian. The consent form clearly and comprehensibly states the purpose, method, duration, foreseeable risks, expected benefits, confidentiality conditions, and the right to withdraw.</w:t>
      </w:r>
    </w:p>
    <w:p>
      <w:pPr>
        <w:spacing w:after="140" w:line="300"/>
        <w:jc w:val="both"/>
      </w:pPr>
      <w:r>
        <w:rPr>
          <w:i w:val="false"/>
          <w:iCs w:val="false"/>
          <w:color w:val="262626"/>
          <w:sz w:val="21"/>
          <w:szCs w:val="21"/>
        </w:rPr>
        <w:t xml:space="preserve">In addition, the child is informed in a manner appropriate to their age, developmental level and communication capacity (verbal, visual, augmentative/alternative communication tools, etc.), and the child's own assent is obtained. Any verbal or non-verbal expression of reluctance, refusal or distress by the child is respected independently of parental consent, and the activity is stopped immediately.</w:t>
      </w:r>
    </w:p>
    <w:p>
      <w:pPr>
        <w:pStyle w:val="Heading2"/>
        <w:spacing w:after="100" w:before="260"/>
      </w:pPr>
      <w:r>
        <w:rPr>
          <w:b/>
          <w:bCs/>
          <w:color w:val="9C6B1F"/>
          <w:sz w:val="23"/>
          <w:szCs w:val="23"/>
        </w:rPr>
        <w:t xml:space="preserve">3.3 Non-Maleficence and Protection</w:t>
      </w:r>
    </w:p>
    <w:p>
      <w:pPr>
        <w:spacing w:after="140" w:line="300"/>
        <w:jc w:val="both"/>
      </w:pPr>
      <w:r>
        <w:rPr>
          <w:i w:val="false"/>
          <w:iCs w:val="false"/>
          <w:color w:val="262626"/>
          <w:sz w:val="21"/>
          <w:szCs w:val="21"/>
        </w:rPr>
        <w:t xml:space="preserve">All interview, assessment and research activities are conducted by competent specialists, in appropriate settings and conditions, so as to minimise any risk of physical, emotional, cognitive or social harm to the child. A risk-benefit analysis is carried out, and relevant Ethics Committee approval obtained, prior to any procedure involving elevated or experimental risk.</w:t>
      </w:r>
    </w:p>
    <w:p>
      <w:pPr>
        <w:pStyle w:val="Heading2"/>
        <w:spacing w:after="100" w:before="260"/>
      </w:pPr>
      <w:r>
        <w:rPr>
          <w:b/>
          <w:bCs/>
          <w:color w:val="9C6B1F"/>
          <w:sz w:val="23"/>
          <w:szCs w:val="23"/>
        </w:rPr>
        <w:t xml:space="preserve">3.4 Confidentiality and Protection of Personal Data</w:t>
      </w:r>
    </w:p>
    <w:p>
      <w:pPr>
        <w:spacing w:after="140" w:line="300"/>
        <w:jc w:val="both"/>
      </w:pPr>
      <w:r>
        <w:rPr>
          <w:i w:val="false"/>
          <w:iCs w:val="false"/>
          <w:color w:val="262626"/>
          <w:sz w:val="21"/>
          <w:szCs w:val="21"/>
        </w:rPr>
        <w:t xml:space="preserve">Identifying information, medical/developmental data, interview records, audio/video recordings and all other personal data belonging to the child and family are collected, processed and stored in accordance with KVKK and GDPR standards. Data are used solely for the explicitly stated purpose; disclosure to third parties is permitted only with separate, explicit consent or where legally required. The child's identity is anonymised or coded in all scientific publications, presentations and training materials.</w:t>
      </w:r>
    </w:p>
    <w:p>
      <w:pPr>
        <w:pStyle w:val="Heading2"/>
        <w:spacing w:after="100" w:before="260"/>
      </w:pPr>
      <w:r>
        <w:rPr>
          <w:b/>
          <w:bCs/>
          <w:color w:val="9C6B1F"/>
          <w:sz w:val="23"/>
          <w:szCs w:val="23"/>
        </w:rPr>
        <w:t xml:space="preserve">3.5 Non-Discrimination and Equality</w:t>
      </w:r>
    </w:p>
    <w:p>
      <w:pPr>
        <w:spacing w:after="140" w:line="300"/>
        <w:jc w:val="both"/>
      </w:pPr>
      <w:r>
        <w:rPr>
          <w:i w:val="false"/>
          <w:iCs w:val="false"/>
          <w:color w:val="262626"/>
          <w:sz w:val="21"/>
          <w:szCs w:val="21"/>
        </w:rPr>
        <w:t xml:space="preserve">Access to services and research processes is provided without discrimination on the basis of the child's diagnosis, level of functioning, ethnicity, gender, religion, family socio-economic status, or any other characteristic. Respect for the dignity of children with autism and developmental differences is ensured through an approach that neither pathologises neurological difference nor overlooks the child's strengths.</w:t>
      </w:r>
    </w:p>
    <w:p>
      <w:pPr>
        <w:pStyle w:val="Heading2"/>
        <w:spacing w:after="100" w:before="260"/>
      </w:pPr>
      <w:r>
        <w:rPr>
          <w:b/>
          <w:bCs/>
          <w:color w:val="9C6B1F"/>
          <w:sz w:val="23"/>
          <w:szCs w:val="23"/>
        </w:rPr>
        <w:t xml:space="preserve">3.6 Transparency and the Right to Information</w:t>
      </w:r>
    </w:p>
    <w:p>
      <w:pPr>
        <w:spacing w:after="140" w:line="300"/>
        <w:jc w:val="both"/>
      </w:pPr>
      <w:r>
        <w:rPr>
          <w:i w:val="false"/>
          <w:iCs w:val="false"/>
          <w:color w:val="262626"/>
          <w:sz w:val="21"/>
          <w:szCs w:val="21"/>
        </w:rPr>
        <w:t xml:space="preserve">Families and, to the extent appropriate, children are informed in a comprehensible manner at every stage of the process, and retain the right to access assessment and research findings. Deception may only be used in exceptional circumstances that are scientifically necessary, have no viable alternative method, and have been approved by the relevant Ethics Committee, and only on condition that a full debriefing is provided afterward; such exceptions are kept to an absolute minimum in research involving children.</w:t>
      </w:r>
    </w:p>
    <w:p>
      <w:pPr>
        <w:pStyle w:val="Heading2"/>
        <w:spacing w:after="100" w:before="260"/>
      </w:pPr>
      <w:r>
        <w:rPr>
          <w:b/>
          <w:bCs/>
          <w:color w:val="9C6B1F"/>
          <w:sz w:val="23"/>
          <w:szCs w:val="23"/>
        </w:rPr>
        <w:t xml:space="preserve">3.7 Right to Withdraw at Any Time</w:t>
      </w:r>
    </w:p>
    <w:p>
      <w:pPr>
        <w:spacing w:after="140" w:line="300"/>
        <w:jc w:val="both"/>
      </w:pPr>
      <w:r>
        <w:rPr>
          <w:i w:val="false"/>
          <w:iCs w:val="false"/>
          <w:color w:val="262626"/>
          <w:sz w:val="21"/>
          <w:szCs w:val="21"/>
        </w:rPr>
        <w:t xml:space="preserve">The family and/or the child may withdraw from participation at any stage of the process, without giving any reason and without facing any adverse consequence (such as denial of service or deterioration of the relationship). Upon a request to withdraw, and subject to any legal retention obligations, data collected to that point may be destroyed at the family's request.</w:t>
      </w:r>
    </w:p>
    <w:p>
      <w:pPr>
        <w:pStyle w:val="Heading2"/>
        <w:spacing w:after="100" w:before="260"/>
      </w:pPr>
      <w:r>
        <w:rPr>
          <w:b/>
          <w:bCs/>
          <w:color w:val="9C6B1F"/>
          <w:sz w:val="23"/>
          <w:szCs w:val="23"/>
        </w:rPr>
        <w:t xml:space="preserve">3.8 Practitioner Competence and Professional Qualification</w:t>
      </w:r>
    </w:p>
    <w:p>
      <w:pPr>
        <w:spacing w:after="140" w:line="300"/>
        <w:jc w:val="both"/>
      </w:pPr>
      <w:r>
        <w:rPr>
          <w:i w:val="false"/>
          <w:iCs w:val="false"/>
          <w:color w:val="262626"/>
          <w:sz w:val="21"/>
          <w:szCs w:val="21"/>
        </w:rPr>
        <w:t xml:space="preserve">All interview, assessment and intervention activities requiring direct contact with children are conducted by specialists who are competent and duly trained/certified in the relevant field (clinical psychology, developmental psychology, special education, child and adolescent psychiatry, speech and language therapy, etc.); the involvement of interns and students always occurs under the direct supervision of a responsible specialist. All staff receive regular training in child protection policy.</w:t>
      </w:r>
    </w:p>
    <w:p>
      <w:pPr>
        <w:pStyle w:val="Heading2"/>
        <w:spacing w:after="100" w:before="260"/>
      </w:pPr>
      <w:r>
        <w:rPr>
          <w:b/>
          <w:bCs/>
          <w:color w:val="9C6B1F"/>
          <w:sz w:val="23"/>
          <w:szCs w:val="23"/>
        </w:rPr>
        <w:t xml:space="preserve">3.9 Additional Sensitivities Specific to Children with Autism and Developmental Disorders</w:t>
      </w:r>
    </w:p>
    <w:p>
      <w:pPr>
        <w:spacing w:after="140" w:line="300"/>
        <w:jc w:val="both"/>
      </w:pPr>
      <w:r>
        <w:rPr>
          <w:i w:val="false"/>
          <w:iCs w:val="false"/>
          <w:color w:val="262626"/>
          <w:sz w:val="21"/>
          <w:szCs w:val="21"/>
        </w:rPr>
        <w:t xml:space="preserve">In recognition that some of the children served by GEBAM may show differences in communication, sensory processing or cognitive functioning, information and consent processes are adapted to each child's individual communication profile (visual supports, social stories, simplified language, etc.). Factors that may cause sensory overload, disruption of routine, or stress arising from an unfamiliar environment are minimised; breaks, the presence of a familiar person, or environmental adjustments are provided as needed.</w:t>
      </w:r>
    </w:p>
    <w:p>
      <w:pPr>
        <w:pStyle w:val="Heading2"/>
        <w:spacing w:after="100" w:before="260"/>
      </w:pPr>
      <w:r>
        <w:rPr>
          <w:b/>
          <w:bCs/>
          <w:color w:val="9C6B1F"/>
          <w:sz w:val="23"/>
          <w:szCs w:val="23"/>
        </w:rPr>
        <w:t xml:space="preserve">3.10 Audio/Video Recording and Consent for Use</w:t>
      </w:r>
    </w:p>
    <w:p>
      <w:pPr>
        <w:spacing w:after="140" w:line="300"/>
        <w:jc w:val="both"/>
      </w:pPr>
      <w:r>
        <w:rPr>
          <w:i w:val="false"/>
          <w:iCs w:val="false"/>
          <w:color w:val="262626"/>
          <w:sz w:val="21"/>
          <w:szCs w:val="21"/>
        </w:rPr>
        <w:t xml:space="preserve">Separate, specific consent is obtained for any audio, image or video recording made in the course of an interview, session or research activity. The consent specifies the purpose of the recording, the retention period, who may access it, and, where applicable, the scope of any scientific or educational use. No recording may be used, shared or published for any purpose beyond that approved.</w:t>
      </w:r>
    </w:p>
    <w:p>
      <w:pPr>
        <w:pStyle w:val="Heading2"/>
        <w:spacing w:after="100" w:before="260"/>
      </w:pPr>
      <w:r>
        <w:rPr>
          <w:b/>
          <w:bCs/>
          <w:color w:val="9C6B1F"/>
          <w:sz w:val="23"/>
          <w:szCs w:val="23"/>
        </w:rPr>
        <w:t xml:space="preserve">3.11 Data Retention, Anonymisation and Destruction</w:t>
      </w:r>
    </w:p>
    <w:p>
      <w:pPr>
        <w:spacing w:after="140" w:line="300"/>
        <w:jc w:val="both"/>
      </w:pPr>
      <w:r>
        <w:rPr>
          <w:i w:val="false"/>
          <w:iCs w:val="false"/>
          <w:color w:val="262626"/>
          <w:sz w:val="21"/>
          <w:szCs w:val="21"/>
        </w:rPr>
        <w:t xml:space="preserve">Collected data are stored in secure, access-restricted environments; retention periods are determined by applicable legislation and GEBAM's institutional data management policy, and data are securely destroyed or irreversibly anonymised at the end of that period. Research data are anonymised at the earliest feasible stage.</w:t>
      </w:r>
    </w:p>
    <w:p>
      <w:pPr>
        <w:pStyle w:val="Heading2"/>
        <w:spacing w:after="100" w:before="260"/>
      </w:pPr>
      <w:r>
        <w:rPr>
          <w:b/>
          <w:bCs/>
          <w:color w:val="9C6B1F"/>
          <w:sz w:val="23"/>
          <w:szCs w:val="23"/>
        </w:rPr>
        <w:t xml:space="preserve">3.12 Ethics Committee Approval, Monitoring and Oversight</w:t>
      </w:r>
    </w:p>
    <w:p>
      <w:pPr>
        <w:spacing w:after="140" w:line="300"/>
        <w:jc w:val="both"/>
      </w:pPr>
      <w:r>
        <w:rPr>
          <w:i w:val="false"/>
          <w:iCs w:val="false"/>
          <w:color w:val="262626"/>
          <w:sz w:val="21"/>
          <w:szCs w:val="21"/>
        </w:rPr>
        <w:t xml:space="preserve">Every research project involving children is submitted for approval to the relevant Gazi University Ethics Committee (e.g., Non-Interventional/Human Research Ethics Committee) prior to implementation, and no data collection activity commences without such approval. Ongoing projects are monitored regularly, and any change requiring a departure from the approved protocol is subject to renewed Ethics Committee approval.</w:t>
      </w:r>
    </w:p>
    <w:p>
      <w:pPr>
        <w:pStyle w:val="Heading2"/>
        <w:spacing w:after="100" w:before="260"/>
      </w:pPr>
      <w:r>
        <w:rPr>
          <w:b/>
          <w:bCs/>
          <w:color w:val="9C6B1F"/>
          <w:sz w:val="23"/>
          <w:szCs w:val="23"/>
        </w:rPr>
        <w:t xml:space="preserve">3.13 Management of Conflicts of Interest</w:t>
      </w:r>
    </w:p>
    <w:p>
      <w:pPr>
        <w:spacing w:after="140" w:line="300"/>
        <w:jc w:val="both"/>
      </w:pPr>
      <w:r>
        <w:rPr>
          <w:i w:val="false"/>
          <w:iCs w:val="false"/>
          <w:color w:val="262626"/>
          <w:sz w:val="21"/>
          <w:szCs w:val="21"/>
        </w:rPr>
        <w:t xml:space="preserve">Researchers and practitioners disclose in advance any financial, institutional or personal conflict of interest that could affect their professional relationship with the child or family, and do not permit such interests to influence decision-making.</w:t>
      </w:r>
    </w:p>
    <w:p>
      <w:pPr>
        <w:pStyle w:val="Heading2"/>
        <w:spacing w:after="100" w:before="260"/>
      </w:pPr>
      <w:r>
        <w:rPr>
          <w:b/>
          <w:bCs/>
          <w:color w:val="9C6B1F"/>
          <w:sz w:val="23"/>
          <w:szCs w:val="23"/>
        </w:rPr>
        <w:t xml:space="preserve">3.14 Duty to Report Suspected Abuse or Neglect</w:t>
      </w:r>
    </w:p>
    <w:p>
      <w:pPr>
        <w:spacing w:after="140" w:line="300"/>
        <w:jc w:val="both"/>
      </w:pPr>
      <w:r>
        <w:rPr>
          <w:i w:val="false"/>
          <w:iCs w:val="false"/>
          <w:color w:val="262626"/>
          <w:sz w:val="21"/>
          <w:szCs w:val="21"/>
        </w:rPr>
        <w:t xml:space="preserve">Where reasonable suspicion arises during any activity that a child has been subjected to abuse, neglect, or any other form of harm, the relevant staff member is obliged to report the matter immediately to the competent authorities (the Ministry of Family and Social Services, judicial authorities, etc.) in accordance with Law No. 5395 on the Protection of Children and applicable legislation. This duty constitutes an exception to the principle of confidentiality and is communicated clearly to all staff in advance.</w:t>
      </w:r>
    </w:p>
    <w:p>
      <w:pPr>
        <w:pStyle w:val="Heading2"/>
        <w:spacing w:after="100" w:before="260"/>
      </w:pPr>
      <w:r>
        <w:rPr>
          <w:b/>
          <w:bCs/>
          <w:color w:val="9C6B1F"/>
          <w:sz w:val="23"/>
          <w:szCs w:val="23"/>
        </w:rPr>
        <w:t xml:space="preserve">3.15 Cultural Sensitivity and a Family-Centred Approach</w:t>
      </w:r>
    </w:p>
    <w:p>
      <w:pPr>
        <w:spacing w:after="140" w:line="300"/>
        <w:jc w:val="both"/>
      </w:pPr>
      <w:r>
        <w:rPr>
          <w:i w:val="false"/>
          <w:iCs w:val="false"/>
          <w:color w:val="262626"/>
          <w:sz w:val="21"/>
          <w:szCs w:val="21"/>
        </w:rPr>
        <w:t xml:space="preserve">The cultural, linguistic and religious context of the child and family is respected throughout interview and assessment processes; the family is recognised as an active stakeholder in decisions concerning the child's care.</w:t>
      </w:r>
    </w:p>
    <w:p>
      <w:pPr>
        <w:pStyle w:val="Heading1"/>
        <w:pBdr>
          <w:bottom w:val="single" w:color="1F3864" w:sz="8" w:space="4"/>
        </w:pBdr>
        <w:spacing w:after="180" w:before="380"/>
      </w:pPr>
      <w:r>
        <w:rPr>
          <w:b/>
          <w:bCs/>
          <w:color w:val="1F3864"/>
          <w:sz w:val="27"/>
          <w:szCs w:val="27"/>
        </w:rPr>
        <w:t xml:space="preserve">4. IMPLEMENTATION PROCEDURES</w:t>
      </w:r>
    </w:p>
    <w:p>
      <w:pPr>
        <w:pStyle w:val="ListParagraph"/>
        <w:numPr>
          <w:ilvl w:val="0"/>
          <w:numId w:val="2"/>
        </w:numPr>
        <w:spacing w:after="90" w:line="290"/>
        <w:jc w:val="both"/>
      </w:pPr>
      <w:r>
        <w:rPr>
          <w:color w:val="262626"/>
          <w:sz w:val="21"/>
          <w:szCs w:val="21"/>
        </w:rPr>
        <w:t xml:space="preserve">A standard informed consent form and age-appropriate child information material are used prior to every activity.</w:t>
      </w:r>
    </w:p>
    <w:p>
      <w:pPr>
        <w:pStyle w:val="ListParagraph"/>
        <w:numPr>
          <w:ilvl w:val="0"/>
          <w:numId w:val="2"/>
        </w:numPr>
        <w:spacing w:after="90" w:line="290"/>
        <w:jc w:val="both"/>
      </w:pPr>
      <w:r>
        <w:rPr>
          <w:color w:val="262626"/>
          <w:sz w:val="21"/>
          <w:szCs w:val="21"/>
        </w:rPr>
        <w:t xml:space="preserve">Ethics Committee application is mandatory for all research-qualifying studies; no data collection may begin without a documented approval.</w:t>
      </w:r>
    </w:p>
    <w:p>
      <w:pPr>
        <w:pStyle w:val="ListParagraph"/>
        <w:numPr>
          <w:ilvl w:val="0"/>
          <w:numId w:val="2"/>
        </w:numPr>
        <w:spacing w:after="90" w:line="290"/>
        <w:jc w:val="both"/>
      </w:pPr>
      <w:r>
        <w:rPr>
          <w:color w:val="262626"/>
          <w:sz w:val="21"/>
          <w:szCs w:val="21"/>
        </w:rPr>
        <w:t xml:space="preserve">Consent forms, recordings and research data are archived in accordance with the GEBAM Data Management Policy.</w:t>
      </w:r>
    </w:p>
    <w:p>
      <w:pPr>
        <w:pStyle w:val="ListParagraph"/>
        <w:numPr>
          <w:ilvl w:val="0"/>
          <w:numId w:val="2"/>
        </w:numPr>
        <w:spacing w:after="90" w:line="290"/>
        <w:jc w:val="both"/>
      </w:pPr>
      <w:r>
        <w:rPr>
          <w:color w:val="262626"/>
          <w:sz w:val="21"/>
          <w:szCs w:val="21"/>
        </w:rPr>
        <w:t xml:space="preserve">This Declaration is reviewed and updated regularly (at least annually) as part of GEBAM's quality and regulatory compliance processes.</w:t>
      </w:r>
    </w:p>
    <w:p>
      <w:pPr>
        <w:pStyle w:val="Heading1"/>
        <w:pBdr>
          <w:bottom w:val="single" w:color="1F3864" w:sz="8" w:space="4"/>
        </w:pBdr>
        <w:spacing w:after="180" w:before="380"/>
      </w:pPr>
      <w:r>
        <w:rPr>
          <w:b/>
          <w:bCs/>
          <w:color w:val="1F3864"/>
          <w:sz w:val="27"/>
          <w:szCs w:val="27"/>
        </w:rPr>
        <w:t xml:space="preserve">5. DECLARATION</w:t>
      </w:r>
    </w:p>
    <w:p>
      <w:pPr>
        <w:spacing w:after="140" w:line="300"/>
        <w:jc w:val="both"/>
      </w:pPr>
      <w:r>
        <w:rPr>
          <w:i w:val="false"/>
          <w:iCs w:val="false"/>
          <w:color w:val="262626"/>
          <w:sz w:val="21"/>
          <w:szCs w:val="21"/>
        </w:rPr>
        <w:t xml:space="preserve">Every researcher, clinician, counsellor, student, intern and volunteer working within GEBAM declares and undertakes that they have read and understood the principles set out in this Declaration and will apply them fully in all their activities.</w:t>
      </w:r>
    </w:p>
    <w:p>
      <w:pPr>
        <w:pStyle w:val="Heading1"/>
        <w:pBdr>
          <w:bottom w:val="single" w:color="1F3864" w:sz="8" w:space="4"/>
        </w:pBdr>
        <w:spacing w:after="180" w:before="380"/>
      </w:pPr>
      <w:r>
        <w:rPr>
          <w:b/>
          <w:bCs/>
          <w:color w:val="1F3864"/>
          <w:sz w:val="27"/>
          <w:szCs w:val="27"/>
        </w:rPr>
        <w:t xml:space="preserve">6. ONAY / APPROVAL</w:t>
      </w:r>
    </w:p>
    <w:p>
      <w:pPr>
        <w:spacing w:after="40" w:before="260"/>
      </w:pPr>
      <w:r>
        <w:rPr>
          <w:color w:val="595959"/>
          <w:sz w:val="20"/>
          <w:szCs w:val="20"/>
        </w:rPr>
        <w:t xml:space="preserve">Merkez Müdürü / Centre Director</w:t>
      </w:r>
    </w:p>
    <w:p>
      <w:pPr>
        <w:pBdr>
          <w:bottom w:val="single" w:color="808080" w:sz="6" w:space="1"/>
        </w:pBdr>
        <w:spacing w:after="260"/>
      </w:pPr>
      <w:r>
        <w:rPr>
          <w:sz w:val="20"/>
          <w:szCs w:val="20"/>
        </w:rPr>
        <w:t xml:space="preserve"/>
      </w:r>
    </w:p>
    <w:p>
      <w:pPr>
        <w:spacing w:after="40" w:before="260"/>
      </w:pPr>
      <w:r>
        <w:rPr>
          <w:color w:val="595959"/>
          <w:sz w:val="20"/>
          <w:szCs w:val="20"/>
        </w:rPr>
        <w:t xml:space="preserve">Ad Soyad / Name / İmza / Signature</w:t>
      </w:r>
    </w:p>
    <w:p>
      <w:pPr>
        <w:spacing w:after="260"/>
      </w:pPr>
      <w:r>
        <w:rPr>
          <w:sz w:val="20"/>
          <w:szCs w:val="20"/>
        </w:rPr>
        <w:t xml:space="preserve">……………………………………………………          ……………………………………………………</w:t>
      </w:r>
    </w:p>
    <w:p>
      <w:pPr>
        <w:spacing w:after="40" w:before="260"/>
      </w:pPr>
      <w:r>
        <w:rPr>
          <w:color w:val="595959"/>
          <w:sz w:val="20"/>
          <w:szCs w:val="20"/>
        </w:rPr>
        <w:t xml:space="preserve">Tarih / Date</w:t>
      </w:r>
    </w:p>
    <w:p>
      <w:pPr>
        <w:pBdr>
          <w:bottom w:val="single" w:color="808080" w:sz="6" w:space="1"/>
        </w:pBdr>
        <w:spacing w:after="260"/>
      </w:pPr>
      <w:r>
        <w:rPr>
          <w:sz w:val="20"/>
          <w:szCs w:val="20"/>
        </w:rPr>
        <w:t xml:space="preserve"/>
      </w:r>
    </w:p>
    <w:sectPr>
      <w:pgSz w:w="11906" w:h="16838" w:orient="portrait"/>
      <w:pgMar w:top="1260" w:right="1260" w:bottom="126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2026-09-28T08:35:55.375Z</dcterms:created>
  <dcterms:modified xsi:type="dcterms:W3CDTF">2026-09-28T08:35:55.385Z</dcterms:modified>
</cp:coreProperties>
</file>

<file path=docProps/custom.xml><?xml version="1.0" encoding="utf-8"?>
<Properties xmlns="http://schemas.openxmlformats.org/officeDocument/2006/custom-properties" xmlns:vt="http://schemas.openxmlformats.org/officeDocument/2006/docPropsVTypes"/>
</file>