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BA5B" w14:textId="77777777" w:rsidR="00743B61" w:rsidRDefault="001B709A">
      <w:pPr>
        <w:spacing w:after="0"/>
        <w:ind w:left="-1440" w:right="9221"/>
      </w:pPr>
      <w:r>
        <w:t>–</w:t>
      </w:r>
    </w:p>
    <w:tbl>
      <w:tblPr>
        <w:tblStyle w:val="TableGrid"/>
        <w:tblW w:w="11121" w:type="dxa"/>
        <w:tblInd w:w="-866" w:type="dxa"/>
        <w:tblCellMar>
          <w:top w:w="22" w:type="dxa"/>
          <w:left w:w="22" w:type="dxa"/>
          <w:right w:w="18" w:type="dxa"/>
        </w:tblCellMar>
        <w:tblLook w:val="04A0" w:firstRow="1" w:lastRow="0" w:firstColumn="1" w:lastColumn="0" w:noHBand="0" w:noVBand="1"/>
      </w:tblPr>
      <w:tblGrid>
        <w:gridCol w:w="2424"/>
        <w:gridCol w:w="8697"/>
      </w:tblGrid>
      <w:tr w:rsidR="00D165C7" w:rsidRPr="00F82A78" w14:paraId="1D6D80AA" w14:textId="77777777" w:rsidTr="004D61A7">
        <w:trPr>
          <w:trHeight w:val="135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0E12" w14:textId="77777777" w:rsidR="00743B61" w:rsidRPr="00F82A78" w:rsidRDefault="00EB7D11">
            <w:pPr>
              <w:rPr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Birim/ Alt Birim</w:t>
            </w:r>
          </w:p>
        </w:tc>
        <w:tc>
          <w:tcPr>
            <w:tcW w:w="8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AC0A6" w14:textId="77777777" w:rsidR="00743B61" w:rsidRPr="00F82A78" w:rsidRDefault="00B3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78">
              <w:rPr>
                <w:rFonts w:ascii="Times New Roman" w:hAnsi="Times New Roman" w:cs="Times New Roman"/>
                <w:sz w:val="24"/>
                <w:szCs w:val="24"/>
              </w:rPr>
              <w:t>Hukuk Müşavirliği</w:t>
            </w:r>
            <w:r w:rsidR="009D28FE" w:rsidRPr="00F82A78">
              <w:rPr>
                <w:rFonts w:ascii="Times New Roman" w:hAnsi="Times New Roman" w:cs="Times New Roman"/>
                <w:sz w:val="24"/>
                <w:szCs w:val="24"/>
              </w:rPr>
              <w:t xml:space="preserve"> / Hukuk Hizmetleri Müdürlüğü</w:t>
            </w:r>
          </w:p>
        </w:tc>
      </w:tr>
      <w:tr w:rsidR="00D165C7" w:rsidRPr="00F82A78" w14:paraId="782BC7F6" w14:textId="77777777" w:rsidTr="004D61A7">
        <w:trPr>
          <w:trHeight w:val="102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DC3DE" w14:textId="77777777" w:rsidR="00743B61" w:rsidRPr="00F82A78" w:rsidRDefault="00FE2198">
            <w:pPr>
              <w:rPr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81740"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Kadro Unvanı</w:t>
            </w:r>
          </w:p>
        </w:tc>
        <w:tc>
          <w:tcPr>
            <w:tcW w:w="8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FC16A" w14:textId="77777777" w:rsidR="00743B61" w:rsidRPr="00F82A78" w:rsidRDefault="00B3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78">
              <w:rPr>
                <w:rFonts w:ascii="Times New Roman" w:hAnsi="Times New Roman" w:cs="Times New Roman"/>
                <w:sz w:val="24"/>
                <w:szCs w:val="24"/>
              </w:rPr>
              <w:t>Avukat</w:t>
            </w:r>
          </w:p>
        </w:tc>
      </w:tr>
      <w:tr w:rsidR="00D165C7" w:rsidRPr="00F82A78" w14:paraId="440E130A" w14:textId="77777777" w:rsidTr="004D61A7">
        <w:trPr>
          <w:trHeight w:val="142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1B02" w14:textId="77777777" w:rsidR="00743B61" w:rsidRPr="00F82A78" w:rsidRDefault="00FE2198">
            <w:pPr>
              <w:rPr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81740"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Görev Unvanı</w:t>
            </w:r>
          </w:p>
        </w:tc>
        <w:tc>
          <w:tcPr>
            <w:tcW w:w="8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F246" w14:textId="77777777" w:rsidR="00743B61" w:rsidRPr="00F82A78" w:rsidRDefault="00E5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Avukat</w:t>
            </w:r>
          </w:p>
        </w:tc>
      </w:tr>
      <w:tr w:rsidR="00D165C7" w:rsidRPr="00F82A78" w14:paraId="62641CD7" w14:textId="77777777" w:rsidTr="004D61A7">
        <w:trPr>
          <w:trHeight w:val="396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D3588" w14:textId="77777777" w:rsidR="00743B61" w:rsidRPr="00F82A78" w:rsidRDefault="00FE2198" w:rsidP="00897027">
            <w:pPr>
              <w:tabs>
                <w:tab w:val="left" w:pos="273"/>
              </w:tabs>
              <w:rPr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97027"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Bağlı </w:t>
            </w:r>
            <w:r w:rsidR="00EB7D11"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Olduğu Birim Yöneticisi</w:t>
            </w:r>
            <w:r w:rsidR="0040059F"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Amiri</w:t>
            </w:r>
          </w:p>
        </w:tc>
        <w:tc>
          <w:tcPr>
            <w:tcW w:w="8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8684" w14:textId="77777777" w:rsidR="00743B61" w:rsidRPr="00F82A78" w:rsidRDefault="00B3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78">
              <w:rPr>
                <w:rFonts w:ascii="Times New Roman" w:hAnsi="Times New Roman" w:cs="Times New Roman"/>
                <w:sz w:val="24"/>
                <w:szCs w:val="24"/>
              </w:rPr>
              <w:t>Hukuk Müşaviri</w:t>
            </w:r>
          </w:p>
        </w:tc>
      </w:tr>
      <w:tr w:rsidR="00D165C7" w:rsidRPr="00F82A78" w14:paraId="4F042706" w14:textId="77777777" w:rsidTr="003728E5">
        <w:trPr>
          <w:trHeight w:val="7188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B3485C" w14:textId="77777777" w:rsidR="00743B61" w:rsidRPr="00F82A78" w:rsidRDefault="00FE2198" w:rsidP="00897027">
            <w:pPr>
              <w:rPr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EB7D11"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740"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Görev, Yetki ve</w:t>
            </w:r>
          </w:p>
          <w:p w14:paraId="39EBCC9C" w14:textId="77777777" w:rsidR="00743B61" w:rsidRPr="00F82A78" w:rsidRDefault="00781740" w:rsidP="00897027">
            <w:pPr>
              <w:rPr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Sorumlulukları</w:t>
            </w:r>
          </w:p>
          <w:p w14:paraId="261558B0" w14:textId="77777777" w:rsidR="00743B61" w:rsidRPr="00F82A78" w:rsidRDefault="00781740">
            <w:pPr>
              <w:rPr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F80D84" w14:textId="77777777" w:rsidR="00743B61" w:rsidRPr="00F82A78" w:rsidRDefault="00781740">
            <w:pPr>
              <w:rPr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2B2F90" w14:textId="77777777" w:rsidR="00743B61" w:rsidRPr="00F82A78" w:rsidRDefault="00781740">
            <w:pPr>
              <w:rPr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CC5A0B" w14:textId="77777777" w:rsidR="00743B61" w:rsidRPr="00F82A78" w:rsidRDefault="007817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7A70A59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44D492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9BAF86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A949EC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585BCF4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AE8FE4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D300F6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D89CC3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028B94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FB18315" w14:textId="77777777" w:rsidR="00EB7D11" w:rsidRPr="00F82A78" w:rsidRDefault="00EB7D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FEA00F" w14:textId="77777777" w:rsidR="00EB7D11" w:rsidRPr="00F82A78" w:rsidRDefault="00EB7D11">
            <w:pPr>
              <w:rPr>
                <w:b/>
                <w:sz w:val="24"/>
                <w:szCs w:val="24"/>
              </w:rPr>
            </w:pPr>
          </w:p>
        </w:tc>
        <w:tc>
          <w:tcPr>
            <w:tcW w:w="86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81A436" w14:textId="77777777" w:rsidR="00401723" w:rsidRDefault="00401723" w:rsidP="00A0232A">
            <w:pPr>
              <w:pStyle w:val="Gvdemetni0"/>
              <w:tabs>
                <w:tab w:val="left" w:pos="443"/>
              </w:tabs>
              <w:jc w:val="both"/>
              <w:rPr>
                <w:color w:val="000000"/>
                <w:sz w:val="24"/>
                <w:szCs w:val="24"/>
                <w:lang w:bidi="tr-TR"/>
              </w:rPr>
            </w:pPr>
          </w:p>
          <w:p w14:paraId="3E4F3AB6" w14:textId="68230B9E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1-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Müşavir ve hukuk hizmetleri müdürü tarafından kendilerine tevdi olunan dava, icra takibi, sair takip ve işlerle ilgili hukuki ve idari işlemleri yapmak, duruşmaları takip etmek, görüş istenen hususlarda mütalaa hazırlamak.</w:t>
            </w:r>
          </w:p>
          <w:p w14:paraId="008C3B1A" w14:textId="77777777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2-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Karara bağlanmış davalar hakkında kanun yollarına başvurulmasında fayda görülmeyenler için Rektörlük Makamından “Olur” alınması hususunun değerlendirilmesi yönünde ilgili birimlere yazı yazmak.</w:t>
            </w:r>
          </w:p>
          <w:p w14:paraId="1EC405E6" w14:textId="6E5C05B8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3-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Üniversite</w:t>
            </w:r>
            <w:r w:rsidR="00C460F0">
              <w:rPr>
                <w:color w:val="000000"/>
                <w:sz w:val="24"/>
                <w:szCs w:val="24"/>
                <w:lang w:bidi="tr-TR"/>
              </w:rPr>
              <w:t>mize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 xml:space="preserve"> tebliğ edilen ve aleyhe hükümler içeren yargı kararlarına karşı, aksi yönde gerekçe içeren ilgili birim amirinin yazılı bir talebi bulunmadığı sürece kanun yollarına başvurmak.</w:t>
            </w:r>
          </w:p>
          <w:p w14:paraId="61231DE6" w14:textId="4937D386" w:rsidR="00E151F2" w:rsidRPr="00F82A78" w:rsidRDefault="00A0232A" w:rsidP="00A0232A">
            <w:pPr>
              <w:pStyle w:val="Gvdemetni0"/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4-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Adli ve idari yargı mercilerinden, icra dairelerinden üniversite</w:t>
            </w:r>
            <w:r w:rsidR="00873303">
              <w:rPr>
                <w:color w:val="000000"/>
                <w:sz w:val="24"/>
                <w:szCs w:val="24"/>
                <w:lang w:bidi="tr-TR"/>
              </w:rPr>
              <w:t>mize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 xml:space="preserve"> yapılacak tebliğlere cevap hazırlamak ve hukuki gereklerini yerine getirmek.</w:t>
            </w:r>
          </w:p>
          <w:p w14:paraId="1B3EE1A0" w14:textId="77777777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5-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Mahkeme kararlarının gereğinin zamanında yerine getirilmesini sağlamak üzere kararı ilgili birimlere göndermek.</w:t>
            </w:r>
          </w:p>
          <w:p w14:paraId="566289D8" w14:textId="608A60EA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6-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Kendisine tevdii edilen icra dosyalarım tetkik ederek, ödemelerin üniversite</w:t>
            </w:r>
            <w:r w:rsidR="003370D1">
              <w:rPr>
                <w:color w:val="000000"/>
                <w:sz w:val="24"/>
                <w:szCs w:val="24"/>
                <w:lang w:bidi="tr-TR"/>
              </w:rPr>
              <w:t>miz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 xml:space="preserve"> kayıtlarına intikalini sağlamak, tahsilat için gerekli işlemleri yapmak, tahsili mümkün olmayanlar için terkin işlemlerini başlatmak hususunun değerlendirilmesi yönünde ilgili birimlere yazı yazmak.</w:t>
            </w:r>
          </w:p>
          <w:p w14:paraId="1D4F11B1" w14:textId="77777777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7-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Borçlunun durumu ya da alacağın azlığı nedeniyle işlemin devamında hukuki-ekonomik yarar görülmediği takdirde alacakların işlemden kaldırılabilmesi için Rektörlük Makamından “Olur” alınması hususunun değerlendirilmesi yönünde ilgili birimlere yazı yazmak.</w:t>
            </w:r>
          </w:p>
          <w:p w14:paraId="7D666E31" w14:textId="77777777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8-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Kanun, tüzük, yönetmelik ve sair mevzuatı incelemek ve değişiklikleri takip etmek.</w:t>
            </w:r>
          </w:p>
          <w:p w14:paraId="5D9E4529" w14:textId="0169C623" w:rsidR="00E151F2" w:rsidRPr="00F82A78" w:rsidRDefault="00A0232A" w:rsidP="00A0232A">
            <w:pPr>
              <w:pStyle w:val="Gvdemetni0"/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9-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Müşavir ve hukuk hizmetleri müdürü tarafından kendilerine verilen dava ve takiplere ait evrakın düzenli bir şekilde dosyalanmasını</w:t>
            </w:r>
            <w:r w:rsidR="003370D1">
              <w:rPr>
                <w:color w:val="000000"/>
                <w:sz w:val="24"/>
                <w:szCs w:val="24"/>
                <w:lang w:bidi="tr-TR"/>
              </w:rPr>
              <w:t xml:space="preserve"> ve arşivlenmesini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 xml:space="preserve"> temin etmek.</w:t>
            </w:r>
          </w:p>
          <w:p w14:paraId="1BD01D5F" w14:textId="77777777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10-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Müşavirlikten bir temsilcinin de hazır bulunması istenen toplantılara Müşavirlik adına katılmak ve hukuki görüş bildirmek.</w:t>
            </w:r>
          </w:p>
          <w:p w14:paraId="447D7A5D" w14:textId="0784F044" w:rsidR="00BC5350" w:rsidRPr="00EC1607" w:rsidRDefault="00A0232A" w:rsidP="00BC5350">
            <w:pPr>
              <w:pStyle w:val="Gvdemetni0"/>
              <w:tabs>
                <w:tab w:val="left" w:pos="538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11-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Müşavirin ve hukuk hizmetleri müdürünün bulunmadığı yer ve zamanlarda müşavire ve Hukuk Hizmetleri Müdürüne vekalet etmek.</w:t>
            </w:r>
            <w:r w:rsidR="00BC5350" w:rsidRPr="00EC1607">
              <w:rPr>
                <w:sz w:val="24"/>
                <w:szCs w:val="24"/>
              </w:rPr>
              <w:t xml:space="preserve"> </w:t>
            </w:r>
            <w:r w:rsidR="00BC5350" w:rsidRPr="00EC1607">
              <w:rPr>
                <w:color w:val="000000"/>
                <w:sz w:val="24"/>
                <w:szCs w:val="24"/>
              </w:rPr>
              <w:t xml:space="preserve">Üniversitemiz lehine hükmedilen alacak, tazminat, vekalet ücreti, feriler vb. tüm alacakların tahsilinin sağlanmasını </w:t>
            </w:r>
            <w:proofErr w:type="spellStart"/>
            <w:r w:rsidR="00BC5350" w:rsidRPr="00EC1607">
              <w:rPr>
                <w:color w:val="000000"/>
                <w:sz w:val="24"/>
                <w:szCs w:val="24"/>
              </w:rPr>
              <w:t>teminen</w:t>
            </w:r>
            <w:proofErr w:type="spellEnd"/>
            <w:r w:rsidR="00BC5350" w:rsidRPr="00EC1607">
              <w:rPr>
                <w:color w:val="000000"/>
                <w:sz w:val="24"/>
                <w:szCs w:val="24"/>
              </w:rPr>
              <w:t xml:space="preserve"> icra takibi başlatmak.</w:t>
            </w:r>
          </w:p>
          <w:p w14:paraId="1CCC2CA3" w14:textId="36AFCD4E" w:rsidR="00BC5350" w:rsidRPr="00EC1607" w:rsidRDefault="00BC5350" w:rsidP="00BC5350">
            <w:pPr>
              <w:pStyle w:val="Gvdemetni0"/>
              <w:tabs>
                <w:tab w:val="left" w:pos="53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C1607">
              <w:rPr>
                <w:color w:val="000000"/>
                <w:sz w:val="24"/>
                <w:szCs w:val="24"/>
              </w:rPr>
              <w:t>2-Üniversitemizin lehine ve aleyhine başlatılan icra dosyalarının takibini yapmak.</w:t>
            </w:r>
          </w:p>
          <w:p w14:paraId="5FD91D70" w14:textId="1164092C" w:rsidR="00BC5350" w:rsidRPr="00EC1607" w:rsidRDefault="00BC5350" w:rsidP="00BC5350">
            <w:pPr>
              <w:pStyle w:val="Gvdemetni0"/>
              <w:tabs>
                <w:tab w:val="left" w:pos="53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EC1607">
              <w:rPr>
                <w:color w:val="000000"/>
                <w:sz w:val="24"/>
                <w:szCs w:val="24"/>
              </w:rPr>
              <w:t>3-Üniversitemize gönderilen üçüncü kişilerin hak ve alacaklarına koyulan haciz müzekkereleri ile ilgili yazışmaları ve hukuki iş-işlemleri yapmak.</w:t>
            </w:r>
          </w:p>
          <w:p w14:paraId="0D49E3C2" w14:textId="7BE1993C" w:rsidR="00BC5350" w:rsidRPr="00EC1607" w:rsidRDefault="00BC5350" w:rsidP="00BC5350">
            <w:pPr>
              <w:pStyle w:val="Gvdemetni0"/>
              <w:tabs>
                <w:tab w:val="left" w:pos="538"/>
              </w:tabs>
              <w:jc w:val="both"/>
              <w:rPr>
                <w:sz w:val="24"/>
                <w:szCs w:val="24"/>
              </w:rPr>
            </w:pPr>
          </w:p>
          <w:p w14:paraId="7B5788AB" w14:textId="77777777" w:rsidR="00401723" w:rsidRDefault="00401723" w:rsidP="00420243">
            <w:pPr>
              <w:pStyle w:val="Gvdemetni0"/>
              <w:tabs>
                <w:tab w:val="left" w:pos="538"/>
              </w:tabs>
              <w:jc w:val="both"/>
              <w:rPr>
                <w:color w:val="000000"/>
                <w:sz w:val="24"/>
                <w:szCs w:val="24"/>
              </w:rPr>
            </w:pPr>
          </w:p>
          <w:p w14:paraId="1A03996F" w14:textId="5CAD31AC" w:rsidR="00E151F2" w:rsidRPr="00F82A78" w:rsidRDefault="00BC5350" w:rsidP="00420243">
            <w:pPr>
              <w:pStyle w:val="Gvdemetni0"/>
              <w:tabs>
                <w:tab w:val="left" w:pos="538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8E461E">
              <w:rPr>
                <w:color w:val="000000"/>
                <w:sz w:val="24"/>
                <w:szCs w:val="24"/>
              </w:rPr>
              <w:t>4</w:t>
            </w:r>
            <w:r w:rsidRPr="00EC1607">
              <w:rPr>
                <w:color w:val="000000"/>
                <w:sz w:val="24"/>
                <w:szCs w:val="24"/>
              </w:rPr>
              <w:t>-Müşavire ve hukuk hizmetleri müdürüne yürütülen hizmetlerle ilgili (yazılı veya sözlü) rapor vermek.</w:t>
            </w:r>
          </w:p>
          <w:p w14:paraId="1721FB96" w14:textId="3C4F678F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1</w:t>
            </w:r>
            <w:r w:rsidR="008E461E">
              <w:rPr>
                <w:color w:val="000000"/>
                <w:sz w:val="24"/>
                <w:szCs w:val="24"/>
                <w:lang w:bidi="tr-TR"/>
              </w:rPr>
              <w:t>5</w:t>
            </w:r>
            <w:r w:rsidRPr="00F82A78">
              <w:rPr>
                <w:color w:val="000000"/>
                <w:sz w:val="24"/>
                <w:szCs w:val="24"/>
                <w:lang w:bidi="tr-TR"/>
              </w:rPr>
              <w:t>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Mevzuatın öngördüğü diğer yetkileri kullanmak ve görevleri yerine getirmek.</w:t>
            </w:r>
          </w:p>
          <w:p w14:paraId="0DBD6F2E" w14:textId="5F9A2068" w:rsidR="00E151F2" w:rsidRPr="00F82A78" w:rsidRDefault="00A0232A" w:rsidP="00A0232A">
            <w:pPr>
              <w:pStyle w:val="Gvdemetni0"/>
              <w:tabs>
                <w:tab w:val="left" w:pos="443"/>
              </w:tabs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1</w:t>
            </w:r>
            <w:r w:rsidR="008E461E">
              <w:rPr>
                <w:color w:val="000000"/>
                <w:sz w:val="24"/>
                <w:szCs w:val="24"/>
                <w:lang w:bidi="tr-TR"/>
              </w:rPr>
              <w:t>6</w:t>
            </w:r>
            <w:r w:rsidRPr="00F82A78">
              <w:rPr>
                <w:color w:val="000000"/>
                <w:sz w:val="24"/>
                <w:szCs w:val="24"/>
                <w:lang w:bidi="tr-TR"/>
              </w:rPr>
              <w:t>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Müşavir tarafından görevlendirildikleri komisyon ve kurullarla ilgili işlemleri yürütmek.</w:t>
            </w:r>
          </w:p>
          <w:p w14:paraId="375EE857" w14:textId="012FCC85" w:rsidR="00FE2198" w:rsidRPr="00F82A78" w:rsidRDefault="00A0232A" w:rsidP="00A0232A">
            <w:pPr>
              <w:pStyle w:val="Gvdemetni0"/>
              <w:tabs>
                <w:tab w:val="left" w:pos="443"/>
              </w:tabs>
              <w:spacing w:after="260"/>
              <w:jc w:val="both"/>
              <w:rPr>
                <w:sz w:val="24"/>
                <w:szCs w:val="24"/>
              </w:rPr>
            </w:pPr>
            <w:r w:rsidRPr="00F82A78">
              <w:rPr>
                <w:color w:val="000000"/>
                <w:sz w:val="24"/>
                <w:szCs w:val="24"/>
                <w:lang w:bidi="tr-TR"/>
              </w:rPr>
              <w:t>1</w:t>
            </w:r>
            <w:r w:rsidR="008E461E">
              <w:rPr>
                <w:color w:val="000000"/>
                <w:sz w:val="24"/>
                <w:szCs w:val="24"/>
                <w:lang w:bidi="tr-TR"/>
              </w:rPr>
              <w:t>7</w:t>
            </w:r>
            <w:r w:rsidRPr="00F82A78">
              <w:rPr>
                <w:color w:val="000000"/>
                <w:sz w:val="24"/>
                <w:szCs w:val="24"/>
                <w:lang w:bidi="tr-TR"/>
              </w:rPr>
              <w:t>-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>Müşavirin</w:t>
            </w:r>
            <w:r w:rsidR="009F0DA6">
              <w:rPr>
                <w:color w:val="000000"/>
                <w:sz w:val="24"/>
                <w:szCs w:val="24"/>
                <w:lang w:bidi="tr-TR"/>
              </w:rPr>
              <w:t xml:space="preserve"> ve hukuk hizmetleri müdürünün</w:t>
            </w:r>
            <w:r w:rsidR="00E151F2" w:rsidRPr="00F82A78">
              <w:rPr>
                <w:color w:val="000000"/>
                <w:sz w:val="24"/>
                <w:szCs w:val="24"/>
                <w:lang w:bidi="tr-TR"/>
              </w:rPr>
              <w:t xml:space="preserve"> verdiği diğer </w:t>
            </w:r>
            <w:r w:rsidRPr="00F82A78">
              <w:rPr>
                <w:color w:val="000000"/>
                <w:sz w:val="24"/>
                <w:szCs w:val="24"/>
                <w:lang w:bidi="tr-TR"/>
              </w:rPr>
              <w:t>işleri yerine getirmek.</w:t>
            </w:r>
          </w:p>
        </w:tc>
      </w:tr>
      <w:tr w:rsidR="00FE2198" w:rsidRPr="00F82A78" w14:paraId="0792A904" w14:textId="77777777" w:rsidTr="004D61A7">
        <w:trPr>
          <w:trHeight w:val="345"/>
        </w:trPr>
        <w:tc>
          <w:tcPr>
            <w:tcW w:w="2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59EDB7" w14:textId="77777777" w:rsidR="00FE2198" w:rsidRPr="00F82A78" w:rsidRDefault="00FE2198" w:rsidP="0089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 Adı Soyadı / İmza -Tarih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016BD5" w14:textId="77777777" w:rsidR="00FE2198" w:rsidRPr="00F82A78" w:rsidRDefault="00FE2198" w:rsidP="00F7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98" w:rsidRPr="00F82A78" w14:paraId="59923DAB" w14:textId="77777777" w:rsidTr="004D61A7">
        <w:trPr>
          <w:trHeight w:val="148"/>
        </w:trPr>
        <w:tc>
          <w:tcPr>
            <w:tcW w:w="24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6AC1BE" w14:textId="77777777" w:rsidR="00FE2198" w:rsidRPr="00F82A78" w:rsidRDefault="00FE2198" w:rsidP="00FE2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A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Yerine Görev Yapacak Personel</w:t>
            </w:r>
          </w:p>
        </w:tc>
        <w:tc>
          <w:tcPr>
            <w:tcW w:w="86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A974DD8" w14:textId="77777777" w:rsidR="005E4912" w:rsidRPr="00F82A78" w:rsidRDefault="005E4912" w:rsidP="00DA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4C008" w14:textId="77777777" w:rsidR="00053E1A" w:rsidRPr="00F82A78" w:rsidRDefault="00053E1A" w:rsidP="00A24555">
      <w:pPr>
        <w:tabs>
          <w:tab w:val="left" w:pos="7905"/>
        </w:tabs>
        <w:rPr>
          <w:sz w:val="24"/>
          <w:szCs w:val="24"/>
        </w:rPr>
      </w:pPr>
    </w:p>
    <w:tbl>
      <w:tblPr>
        <w:tblW w:w="11203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  <w:gridCol w:w="5893"/>
      </w:tblGrid>
      <w:tr w:rsidR="00F82A78" w14:paraId="2F1A0D5D" w14:textId="77777777" w:rsidTr="004D61A7">
        <w:trPr>
          <w:trHeight w:val="1738"/>
        </w:trPr>
        <w:tc>
          <w:tcPr>
            <w:tcW w:w="5310" w:type="dxa"/>
          </w:tcPr>
          <w:p w14:paraId="0057D6DD" w14:textId="77777777" w:rsidR="00F82A78" w:rsidRDefault="00F82A78" w:rsidP="00D6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3C">
              <w:rPr>
                <w:rFonts w:ascii="Times New Roman" w:hAnsi="Times New Roman" w:cs="Times New Roman"/>
                <w:sz w:val="20"/>
                <w:szCs w:val="20"/>
              </w:rPr>
              <w:t>HAZIRLAYAN</w:t>
            </w:r>
          </w:p>
          <w:p w14:paraId="44DA9B99" w14:textId="77777777" w:rsidR="007F5E3C" w:rsidRDefault="007F5E3C" w:rsidP="00D6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  <w:p w14:paraId="11902915" w14:textId="77777777" w:rsidR="007F5E3C" w:rsidRDefault="007F5E3C" w:rsidP="00D6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</w:p>
          <w:p w14:paraId="6284CD17" w14:textId="77777777" w:rsidR="00D66637" w:rsidRPr="007F5E3C" w:rsidRDefault="00D66637" w:rsidP="00D6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5893" w:type="dxa"/>
          </w:tcPr>
          <w:p w14:paraId="1BBCC99E" w14:textId="77777777" w:rsidR="00F82A78" w:rsidRDefault="00F82A78" w:rsidP="00D6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3C">
              <w:rPr>
                <w:rFonts w:ascii="Times New Roman" w:hAnsi="Times New Roman" w:cs="Times New Roman"/>
                <w:sz w:val="20"/>
                <w:szCs w:val="20"/>
              </w:rPr>
              <w:t>ONAYLAYAN</w:t>
            </w:r>
          </w:p>
          <w:p w14:paraId="348F7935" w14:textId="77777777" w:rsidR="007F5E3C" w:rsidRDefault="007F5E3C" w:rsidP="00D6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  <w:p w14:paraId="7F29B2AD" w14:textId="77777777" w:rsidR="007F5E3C" w:rsidRDefault="007F5E3C" w:rsidP="00D6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  <w:p w14:paraId="7DB8A189" w14:textId="77777777" w:rsidR="00D66637" w:rsidRPr="007F5E3C" w:rsidRDefault="00D66637" w:rsidP="00D666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58867D00" w14:textId="77777777" w:rsidR="00C7472B" w:rsidRPr="00F82A78" w:rsidRDefault="00C7472B" w:rsidP="00053E1A">
      <w:pPr>
        <w:rPr>
          <w:sz w:val="24"/>
          <w:szCs w:val="24"/>
        </w:rPr>
      </w:pPr>
    </w:p>
    <w:sectPr w:rsidR="00C7472B" w:rsidRPr="00F82A78">
      <w:headerReference w:type="default" r:id="rId7"/>
      <w:footerReference w:type="default" r:id="rId8"/>
      <w:pgSz w:w="12240" w:h="15840"/>
      <w:pgMar w:top="27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68D5" w14:textId="77777777" w:rsidR="003046F7" w:rsidRDefault="003046F7" w:rsidP="00C7472B">
      <w:pPr>
        <w:spacing w:after="0" w:line="240" w:lineRule="auto"/>
      </w:pPr>
      <w:r>
        <w:separator/>
      </w:r>
    </w:p>
  </w:endnote>
  <w:endnote w:type="continuationSeparator" w:id="0">
    <w:p w14:paraId="1A92AF47" w14:textId="77777777" w:rsidR="003046F7" w:rsidRDefault="003046F7" w:rsidP="00C74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61FE" w14:textId="77777777" w:rsidR="00F82A78" w:rsidRDefault="00F82A78" w:rsidP="00F82A78">
    <w:pPr>
      <w:pStyle w:val="AltBilgi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7207" w14:textId="77777777" w:rsidR="003046F7" w:rsidRDefault="003046F7" w:rsidP="00C7472B">
      <w:pPr>
        <w:spacing w:after="0" w:line="240" w:lineRule="auto"/>
      </w:pPr>
      <w:r>
        <w:separator/>
      </w:r>
    </w:p>
  </w:footnote>
  <w:footnote w:type="continuationSeparator" w:id="0">
    <w:p w14:paraId="544A5E77" w14:textId="77777777" w:rsidR="003046F7" w:rsidRDefault="003046F7" w:rsidP="00C74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93" w:type="dxa"/>
      <w:jc w:val="center"/>
      <w:tblInd w:w="0" w:type="dxa"/>
      <w:tblCellMar>
        <w:top w:w="22" w:type="dxa"/>
        <w:left w:w="22" w:type="dxa"/>
        <w:right w:w="18" w:type="dxa"/>
      </w:tblCellMar>
      <w:tblLook w:val="04A0" w:firstRow="1" w:lastRow="0" w:firstColumn="1" w:lastColumn="0" w:noHBand="0" w:noVBand="1"/>
    </w:tblPr>
    <w:tblGrid>
      <w:gridCol w:w="1540"/>
      <w:gridCol w:w="6305"/>
      <w:gridCol w:w="1609"/>
      <w:gridCol w:w="1639"/>
    </w:tblGrid>
    <w:tr w:rsidR="00C7472B" w:rsidRPr="0040059F" w14:paraId="0EB731C8" w14:textId="77777777" w:rsidTr="00FE2198">
      <w:trPr>
        <w:trHeight w:val="259"/>
        <w:jc w:val="center"/>
      </w:trPr>
      <w:tc>
        <w:tcPr>
          <w:tcW w:w="154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F9162E2" w14:textId="77777777" w:rsidR="00C7472B" w:rsidRPr="00D165C7" w:rsidRDefault="00C7472B" w:rsidP="00FE2198">
          <w:pPr>
            <w:jc w:val="center"/>
          </w:pPr>
          <w:r w:rsidRPr="00D165C7">
            <w:rPr>
              <w:noProof/>
            </w:rPr>
            <w:drawing>
              <wp:inline distT="0" distB="0" distL="0" distR="0" wp14:anchorId="42901213" wp14:editId="2C124C67">
                <wp:extent cx="720000" cy="720000"/>
                <wp:effectExtent l="0" t="0" r="4445" b="4445"/>
                <wp:docPr id="1" name="Resim 1" descr="C:\Users\Gazi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i\Desktop\GAZI_UNIVERSITESI_LOGO_201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78B2E0C" w14:textId="77777777" w:rsidR="00C7472B" w:rsidRPr="00F82A78" w:rsidRDefault="00C7472B" w:rsidP="00C7472B">
          <w:pPr>
            <w:ind w:left="27"/>
            <w:jc w:val="center"/>
            <w:rPr>
              <w:b/>
              <w:sz w:val="28"/>
              <w:szCs w:val="28"/>
            </w:rPr>
          </w:pPr>
          <w:r w:rsidRPr="00F82A78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Görev Tanım Formu</w:t>
          </w:r>
        </w:p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1727A2C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Doküman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FC5AE77" w14:textId="77777777" w:rsidR="00C7472B" w:rsidRDefault="00F82A78" w:rsidP="00C7472B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HKM.GT.0002</w:t>
          </w:r>
        </w:p>
        <w:p w14:paraId="0DC30C2F" w14:textId="77777777" w:rsidR="00FA5A00" w:rsidRPr="0040059F" w:rsidRDefault="00FA5A00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790A1A89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4FD7CCE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2BA9B8B0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91F0737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Yayın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6648334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hAnsi="Times New Roman" w:cs="Times New Roman"/>
              <w:sz w:val="20"/>
              <w:szCs w:val="20"/>
            </w:rPr>
            <w:t>01.06.2022</w:t>
          </w:r>
        </w:p>
      </w:tc>
    </w:tr>
    <w:tr w:rsidR="00C7472B" w:rsidRPr="0040059F" w14:paraId="3E231DDA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3A8DFE6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0A24435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C1F944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Tarihi: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28908CA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67786E98" w14:textId="77777777" w:rsidTr="00FE2198">
      <w:trPr>
        <w:trHeight w:val="25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43D0052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342389C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E8284F2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Revizyon No: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03334AC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C7472B" w:rsidRPr="0040059F" w14:paraId="28B35EB8" w14:textId="77777777" w:rsidTr="00FE2198">
      <w:trPr>
        <w:trHeight w:val="269"/>
        <w:jc w:val="center"/>
      </w:trPr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2379B55" w14:textId="77777777" w:rsidR="00C7472B" w:rsidRDefault="00C7472B" w:rsidP="00C7472B"/>
      </w:tc>
      <w:tc>
        <w:tcPr>
          <w:tcW w:w="0" w:type="auto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A4EC4BF" w14:textId="77777777" w:rsidR="00C7472B" w:rsidRDefault="00C7472B" w:rsidP="00C7472B"/>
      </w:tc>
      <w:tc>
        <w:tcPr>
          <w:tcW w:w="160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ADECE6B" w14:textId="77777777" w:rsidR="00C7472B" w:rsidRPr="0040059F" w:rsidRDefault="00C7472B" w:rsidP="00C7472B">
          <w:pPr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Sayfa:</w:t>
          </w:r>
        </w:p>
      </w:tc>
      <w:tc>
        <w:tcPr>
          <w:tcW w:w="1639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0A1C29B" w14:textId="77777777" w:rsidR="00C7472B" w:rsidRPr="0040059F" w:rsidRDefault="00C7472B" w:rsidP="00C7472B">
          <w:pPr>
            <w:rPr>
              <w:rFonts w:ascii="Times New Roman" w:hAnsi="Times New Roman" w:cs="Times New Roman"/>
              <w:sz w:val="20"/>
              <w:szCs w:val="20"/>
            </w:rPr>
          </w:pPr>
          <w:r w:rsidRPr="0040059F">
            <w:rPr>
              <w:rFonts w:ascii="Times New Roman" w:eastAsia="Times New Roman" w:hAnsi="Times New Roman" w:cs="Times New Roman"/>
              <w:sz w:val="20"/>
              <w:szCs w:val="20"/>
            </w:rPr>
            <w:t>1/1</w:t>
          </w:r>
        </w:p>
      </w:tc>
    </w:tr>
  </w:tbl>
  <w:p w14:paraId="04458B58" w14:textId="77777777" w:rsidR="00C7472B" w:rsidRPr="00C7472B" w:rsidRDefault="00C7472B" w:rsidP="00C747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C70"/>
    <w:multiLevelType w:val="multilevel"/>
    <w:tmpl w:val="3C6C677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CD34EA"/>
    <w:multiLevelType w:val="multilevel"/>
    <w:tmpl w:val="7902CC2A"/>
    <w:lvl w:ilvl="0">
      <w:start w:val="5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14837"/>
    <w:multiLevelType w:val="hybridMultilevel"/>
    <w:tmpl w:val="5FE425A6"/>
    <w:lvl w:ilvl="0" w:tplc="9544DC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1103C2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6FCE50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E5DE36A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0A4CC3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53485A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2DE242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29869A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102CCB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E77F9E"/>
    <w:multiLevelType w:val="hybridMultilevel"/>
    <w:tmpl w:val="526C69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838CF"/>
    <w:multiLevelType w:val="hybridMultilevel"/>
    <w:tmpl w:val="14FC8F2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9031B6"/>
    <w:multiLevelType w:val="multilevel"/>
    <w:tmpl w:val="8DE40B7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1"/>
    <w:rsid w:val="00053E1A"/>
    <w:rsid w:val="00080E59"/>
    <w:rsid w:val="00150BD2"/>
    <w:rsid w:val="001B709A"/>
    <w:rsid w:val="001D60B8"/>
    <w:rsid w:val="001D6476"/>
    <w:rsid w:val="001F0334"/>
    <w:rsid w:val="00206C00"/>
    <w:rsid w:val="002070C2"/>
    <w:rsid w:val="00211788"/>
    <w:rsid w:val="00211C7B"/>
    <w:rsid w:val="00241BF1"/>
    <w:rsid w:val="00246442"/>
    <w:rsid w:val="002A7191"/>
    <w:rsid w:val="002B34F5"/>
    <w:rsid w:val="002B68A9"/>
    <w:rsid w:val="003046F7"/>
    <w:rsid w:val="0030743F"/>
    <w:rsid w:val="003370D1"/>
    <w:rsid w:val="003728E5"/>
    <w:rsid w:val="0040059F"/>
    <w:rsid w:val="00401723"/>
    <w:rsid w:val="004111C9"/>
    <w:rsid w:val="00420243"/>
    <w:rsid w:val="00446AA5"/>
    <w:rsid w:val="004D61A7"/>
    <w:rsid w:val="004E300A"/>
    <w:rsid w:val="00515E37"/>
    <w:rsid w:val="0051746B"/>
    <w:rsid w:val="005C0E49"/>
    <w:rsid w:val="005E4912"/>
    <w:rsid w:val="00620239"/>
    <w:rsid w:val="00634977"/>
    <w:rsid w:val="00666F7C"/>
    <w:rsid w:val="006C1389"/>
    <w:rsid w:val="006E334A"/>
    <w:rsid w:val="00700572"/>
    <w:rsid w:val="00730716"/>
    <w:rsid w:val="00743B61"/>
    <w:rsid w:val="0076528E"/>
    <w:rsid w:val="00781740"/>
    <w:rsid w:val="007A2829"/>
    <w:rsid w:val="007F5E3C"/>
    <w:rsid w:val="00873303"/>
    <w:rsid w:val="0088049D"/>
    <w:rsid w:val="0088597C"/>
    <w:rsid w:val="00897027"/>
    <w:rsid w:val="008B2834"/>
    <w:rsid w:val="008E461E"/>
    <w:rsid w:val="009B22A5"/>
    <w:rsid w:val="009D28FE"/>
    <w:rsid w:val="009F0DA6"/>
    <w:rsid w:val="009F7A23"/>
    <w:rsid w:val="00A0232A"/>
    <w:rsid w:val="00A24555"/>
    <w:rsid w:val="00A337DC"/>
    <w:rsid w:val="00A83979"/>
    <w:rsid w:val="00B34449"/>
    <w:rsid w:val="00B54841"/>
    <w:rsid w:val="00BC5350"/>
    <w:rsid w:val="00C1052C"/>
    <w:rsid w:val="00C17286"/>
    <w:rsid w:val="00C460F0"/>
    <w:rsid w:val="00C466CF"/>
    <w:rsid w:val="00C74243"/>
    <w:rsid w:val="00C7472B"/>
    <w:rsid w:val="00C951ED"/>
    <w:rsid w:val="00D165C7"/>
    <w:rsid w:val="00D23ED1"/>
    <w:rsid w:val="00D26125"/>
    <w:rsid w:val="00D66637"/>
    <w:rsid w:val="00D84EF1"/>
    <w:rsid w:val="00D94A71"/>
    <w:rsid w:val="00DA598D"/>
    <w:rsid w:val="00DC0ACD"/>
    <w:rsid w:val="00E151F2"/>
    <w:rsid w:val="00E33C0B"/>
    <w:rsid w:val="00E55739"/>
    <w:rsid w:val="00EB7D11"/>
    <w:rsid w:val="00EC0C4E"/>
    <w:rsid w:val="00ED2AD9"/>
    <w:rsid w:val="00F16A04"/>
    <w:rsid w:val="00F220EA"/>
    <w:rsid w:val="00F25D66"/>
    <w:rsid w:val="00F46868"/>
    <w:rsid w:val="00F5260F"/>
    <w:rsid w:val="00F73E70"/>
    <w:rsid w:val="00F82A78"/>
    <w:rsid w:val="00FA5A00"/>
    <w:rsid w:val="00FE2198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CF733"/>
  <w15:docId w15:val="{F5251E7F-1CD4-432E-8600-A2E8465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005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472B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74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472B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C747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E151F2"/>
    <w:rPr>
      <w:rFonts w:ascii="Times New Roman" w:eastAsia="Times New Roman" w:hAnsi="Times New Roman" w:cs="Times New Roman"/>
    </w:rPr>
  </w:style>
  <w:style w:type="paragraph" w:customStyle="1" w:styleId="Gvdemetni0">
    <w:name w:val="Gövde metni"/>
    <w:basedOn w:val="Normal"/>
    <w:link w:val="Gvdemetni"/>
    <w:rsid w:val="00E151F2"/>
    <w:pPr>
      <w:widowControl w:val="0"/>
      <w:spacing w:after="0" w:line="252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Gazi</cp:lastModifiedBy>
  <cp:revision>16</cp:revision>
  <dcterms:created xsi:type="dcterms:W3CDTF">2023-11-09T10:24:00Z</dcterms:created>
  <dcterms:modified xsi:type="dcterms:W3CDTF">2024-12-13T11:11:00Z</dcterms:modified>
</cp:coreProperties>
</file>