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2237"/>
        <w:tblW w:w="14693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877"/>
        <w:gridCol w:w="2140"/>
        <w:gridCol w:w="1542"/>
        <w:gridCol w:w="7471"/>
      </w:tblGrid>
      <w:tr w:rsidR="00C00F5F" w:rsidRPr="006173E3" w:rsidTr="00800224">
        <w:trPr>
          <w:trHeight w:val="411"/>
        </w:trPr>
        <w:tc>
          <w:tcPr>
            <w:tcW w:w="14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6173E3" w:rsidRDefault="00C00F5F" w:rsidP="009E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Birim Adı</w:t>
            </w:r>
            <w:r w:rsidR="00800224" w:rsidRPr="006173E3">
              <w:rPr>
                <w:rFonts w:ascii="Times New Roman" w:eastAsia="Times New Roman" w:hAnsi="Times New Roman" w:cs="Times New Roman"/>
                <w:b/>
              </w:rPr>
              <w:t>:</w:t>
            </w:r>
            <w:r w:rsidR="001F4DD8">
              <w:rPr>
                <w:rFonts w:ascii="Times New Roman" w:eastAsia="Times New Roman" w:hAnsi="Times New Roman" w:cs="Times New Roman"/>
                <w:b/>
              </w:rPr>
              <w:t xml:space="preserve">  Gazi Üniversitesi İyonlaştırıcı Olmayan Radyasyondan Korunma Uygulama ve Araştırma Merkezi (GİRKUM)</w:t>
            </w:r>
          </w:p>
        </w:tc>
      </w:tr>
      <w:tr w:rsidR="006173E3" w:rsidRPr="006173E3" w:rsidTr="001A1BDB">
        <w:trPr>
          <w:trHeight w:val="581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6173E3" w:rsidRDefault="00C00F5F" w:rsidP="009E1BA4">
            <w:pPr>
              <w:spacing w:after="48" w:line="240" w:lineRule="auto"/>
              <w:ind w:left="74"/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Sıra</w:t>
            </w:r>
          </w:p>
          <w:p w:rsidR="00C00F5F" w:rsidRPr="006173E3" w:rsidRDefault="00C00F5F" w:rsidP="009E1BA4">
            <w:pPr>
              <w:ind w:left="137"/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6173E3" w:rsidRDefault="00C00F5F" w:rsidP="009E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Hassas Görevler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6173E3" w:rsidRDefault="00E9673D" w:rsidP="009E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6173E3" w:rsidRDefault="00E9673D" w:rsidP="009E1B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  <w:p w:rsidR="00E9673D" w:rsidRPr="006173E3" w:rsidRDefault="00E9673D" w:rsidP="009E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(Yüksek-Orta-Düşük)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6173E3" w:rsidRDefault="00E9673D" w:rsidP="009E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Gerekli Kontroller/Tedbirler</w:t>
            </w:r>
          </w:p>
        </w:tc>
      </w:tr>
      <w:tr w:rsidR="006173E3" w:rsidRPr="006173E3" w:rsidTr="001A1BDB">
        <w:trPr>
          <w:trHeight w:val="135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Elektromanyetik (EM) Alan Ölçüm İşlemleri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Ölçüm işlemlerinin aksaması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Ölçüm İşlemleri sürecinin aksamaması için</w:t>
            </w:r>
            <w:r w:rsidR="00D74891" w:rsidRPr="006173E3">
              <w:rPr>
                <w:rFonts w:ascii="Times New Roman" w:eastAsia="Times New Roman" w:hAnsi="Times New Roman" w:cs="Times New Roman"/>
              </w:rPr>
              <w:t xml:space="preserve"> EMA Ölçüm Hizmeti </w:t>
            </w:r>
            <w:proofErr w:type="spellStart"/>
            <w:r w:rsidR="00D74891" w:rsidRPr="006173E3">
              <w:rPr>
                <w:rFonts w:ascii="Times New Roman" w:eastAsia="Times New Roman" w:hAnsi="Times New Roman" w:cs="Times New Roman"/>
              </w:rPr>
              <w:t>Prosedürü’ndeki</w:t>
            </w:r>
            <w:proofErr w:type="spellEnd"/>
            <w:r w:rsidR="00D74891" w:rsidRPr="006173E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D74891" w:rsidRPr="006173E3">
              <w:rPr>
                <w:rFonts w:ascii="Times New Roman" w:eastAsia="Times New Roman" w:hAnsi="Times New Roman" w:cs="Times New Roman"/>
              </w:rPr>
              <w:t>PR.LBBR</w:t>
            </w:r>
            <w:proofErr w:type="gramEnd"/>
            <w:r w:rsidR="00D74891" w:rsidRPr="006173E3">
              <w:rPr>
                <w:rFonts w:ascii="Times New Roman" w:eastAsia="Times New Roman" w:hAnsi="Times New Roman" w:cs="Times New Roman"/>
              </w:rPr>
              <w:t>.001)</w:t>
            </w:r>
            <w:r w:rsidRPr="006173E3">
              <w:rPr>
                <w:rFonts w:ascii="Times New Roman" w:eastAsia="Times New Roman" w:hAnsi="Times New Roman" w:cs="Times New Roman"/>
              </w:rPr>
              <w:t xml:space="preserve"> tüm basamakların atlanmadan yapılması, Ölçümler esnasında Cihaz kullanım talimatı </w:t>
            </w:r>
            <w:r w:rsidR="00D74891" w:rsidRPr="006173E3">
              <w:rPr>
                <w:rFonts w:ascii="Times New Roman" w:eastAsia="Times New Roman" w:hAnsi="Times New Roman" w:cs="Times New Roman"/>
              </w:rPr>
              <w:t>(CT.LBBR.001, CT.LBBR.002 ve CT.LBBR.003) ve Deney T</w:t>
            </w:r>
            <w:r w:rsidRPr="006173E3">
              <w:rPr>
                <w:rFonts w:ascii="Times New Roman" w:eastAsia="Times New Roman" w:hAnsi="Times New Roman" w:cs="Times New Roman"/>
              </w:rPr>
              <w:t xml:space="preserve">alimatlarına </w:t>
            </w:r>
            <w:r w:rsidR="00D74891" w:rsidRPr="006173E3">
              <w:rPr>
                <w:rFonts w:ascii="Times New Roman" w:eastAsia="Times New Roman" w:hAnsi="Times New Roman" w:cs="Times New Roman"/>
              </w:rPr>
              <w:t xml:space="preserve">(DT.LBBR.001 ve DT.LBBR.002) </w:t>
            </w:r>
            <w:r w:rsidRPr="006173E3">
              <w:rPr>
                <w:rFonts w:ascii="Times New Roman" w:eastAsia="Times New Roman" w:hAnsi="Times New Roman" w:cs="Times New Roman"/>
              </w:rPr>
              <w:t>bağlı kalmak</w:t>
            </w:r>
            <w:r w:rsidR="00D74891" w:rsidRPr="006173E3">
              <w:rPr>
                <w:rFonts w:ascii="Times New Roman" w:eastAsia="Times New Roman" w:hAnsi="Times New Roman" w:cs="Times New Roman"/>
              </w:rPr>
              <w:t xml:space="preserve">, </w:t>
            </w:r>
            <w:r w:rsidR="00D74891" w:rsidRPr="006173E3">
              <w:rPr>
                <w:rFonts w:ascii="Times New Roman" w:hAnsi="Times New Roman" w:cs="Times New Roman"/>
              </w:rPr>
              <w:t xml:space="preserve"> Raporlandırmada </w:t>
            </w:r>
            <w:r w:rsidR="00D74891" w:rsidRPr="006173E3">
              <w:rPr>
                <w:rFonts w:ascii="Times New Roman" w:eastAsia="Times New Roman" w:hAnsi="Times New Roman" w:cs="Times New Roman"/>
              </w:rPr>
              <w:t>Ölçüm Sonuçlarının Geçerliliğinin Temini Prosedürünü (PR.LBBR.007) uygulamak.</w:t>
            </w:r>
          </w:p>
        </w:tc>
      </w:tr>
      <w:tr w:rsidR="006173E3" w:rsidRPr="006173E3" w:rsidTr="001A1BDB">
        <w:trPr>
          <w:trHeight w:val="3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3E3">
              <w:rPr>
                <w:rFonts w:ascii="Times New Roman" w:hAnsi="Times New Roman" w:cs="Times New Roman"/>
              </w:rPr>
              <w:t>Uluslararasılaşma</w:t>
            </w:r>
            <w:proofErr w:type="spellEnd"/>
            <w:r w:rsidRPr="006173E3">
              <w:rPr>
                <w:rFonts w:ascii="Times New Roman" w:hAnsi="Times New Roman" w:cs="Times New Roman"/>
              </w:rPr>
              <w:t xml:space="preserve"> </w:t>
            </w:r>
            <w:r w:rsidR="00D74891" w:rsidRPr="006173E3">
              <w:rPr>
                <w:rFonts w:ascii="Times New Roman" w:hAnsi="Times New Roman" w:cs="Times New Roman"/>
              </w:rPr>
              <w:t>ve Akreditasyonu Y</w:t>
            </w:r>
            <w:r w:rsidRPr="006173E3">
              <w:rPr>
                <w:rFonts w:ascii="Times New Roman" w:hAnsi="Times New Roman" w:cs="Times New Roman"/>
              </w:rPr>
              <w:t>aygınlaştırma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Kalite Sisteminin Geliştirilememesi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Düşük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D74891" w:rsidP="00005F67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hAnsi="Times New Roman" w:cs="Times New Roman"/>
              </w:rPr>
              <w:t>Bu kapsamında Kalite ve ölçüm sistemlerimizde TÜRKAK (TS EN 17025 S</w:t>
            </w:r>
            <w:r w:rsidR="00005F67">
              <w:rPr>
                <w:rFonts w:ascii="Times New Roman" w:hAnsi="Times New Roman" w:cs="Times New Roman"/>
              </w:rPr>
              <w:t>tandardı</w:t>
            </w:r>
            <w:r w:rsidRPr="006173E3">
              <w:rPr>
                <w:rFonts w:ascii="Times New Roman" w:hAnsi="Times New Roman" w:cs="Times New Roman"/>
              </w:rPr>
              <w:t>) akreditasyonunu yerine getirmek.</w:t>
            </w:r>
          </w:p>
        </w:tc>
      </w:tr>
      <w:tr w:rsidR="006173E3" w:rsidRPr="006173E3" w:rsidTr="001A1BDB">
        <w:trPr>
          <w:trHeight w:val="3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hAnsi="Times New Roman" w:cs="Times New Roman"/>
              </w:rPr>
              <w:t>Sosyal sorumluluk bilincini ve hizmet kalitesini artırarak topluma katkı sağlamak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Elektromanyetik alanlar konusunda farkındalığın yaygınlaştırılamaması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D74891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Merkez web sitesinin güncel tutulması, Merkez sosyal medya hesabında aktif paylaşımların yapılması.</w:t>
            </w:r>
          </w:p>
        </w:tc>
      </w:tr>
      <w:tr w:rsidR="006173E3" w:rsidRPr="006173E3" w:rsidTr="001A1BDB">
        <w:trPr>
          <w:trHeight w:val="3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3E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hAnsi="Times New Roman" w:cs="Times New Roman"/>
              </w:rPr>
              <w:t>Merkez tanıtımı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 xml:space="preserve">Merkez </w:t>
            </w:r>
            <w:proofErr w:type="spellStart"/>
            <w:r w:rsidRPr="006173E3">
              <w:rPr>
                <w:rFonts w:ascii="Times New Roman" w:eastAsia="Times New Roman" w:hAnsi="Times New Roman" w:cs="Times New Roman"/>
              </w:rPr>
              <w:t>tanınırlılığının</w:t>
            </w:r>
            <w:proofErr w:type="spellEnd"/>
            <w:r w:rsidRPr="006173E3">
              <w:rPr>
                <w:rFonts w:ascii="Times New Roman" w:eastAsia="Times New Roman" w:hAnsi="Times New Roman" w:cs="Times New Roman"/>
              </w:rPr>
              <w:t xml:space="preserve"> sağlanamaması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0017F3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F3" w:rsidRPr="006173E3" w:rsidRDefault="00D74891" w:rsidP="009E1BA4">
            <w:pPr>
              <w:jc w:val="center"/>
              <w:rPr>
                <w:rFonts w:ascii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Merkez web sitesinin güncel tutulması, Merkez sosyal medya hesabında aktif paylaşımların yapılması.</w:t>
            </w:r>
          </w:p>
        </w:tc>
      </w:tr>
      <w:tr w:rsidR="006B4685" w:rsidRPr="006173E3" w:rsidTr="001A1BDB">
        <w:trPr>
          <w:trHeight w:val="3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Pr="009E1BA4" w:rsidRDefault="006B4685" w:rsidP="009E1BA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E1BA4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Pr="009E1BA4" w:rsidRDefault="006B4685" w:rsidP="009E1B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1BA4">
              <w:rPr>
                <w:rFonts w:ascii="Times New Roman" w:hAnsi="Times New Roman" w:cs="Times New Roman"/>
                <w:color w:val="auto"/>
              </w:rPr>
              <w:t>Hassas görevden ayrılan personelin yerine görevlendirme yapılması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Pr="009E1BA4" w:rsidRDefault="006B4685" w:rsidP="009E1B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E1BA4">
              <w:rPr>
                <w:rFonts w:ascii="Times New Roman" w:eastAsia="Times New Roman" w:hAnsi="Times New Roman" w:cs="Times New Roman"/>
                <w:color w:val="auto"/>
              </w:rPr>
              <w:t>Merkez işleyişinin aksaması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Pr="009E1BA4" w:rsidRDefault="006B4685" w:rsidP="009E1B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E1BA4">
              <w:rPr>
                <w:rFonts w:ascii="Times New Roman" w:eastAsia="Times New Roman" w:hAnsi="Times New Roman" w:cs="Times New Roman"/>
                <w:color w:val="auto"/>
              </w:rPr>
              <w:t>Düşük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Pr="009E1BA4" w:rsidRDefault="006B4685" w:rsidP="009E1B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E1BA4">
              <w:rPr>
                <w:rFonts w:ascii="Times New Roman" w:eastAsia="Times New Roman" w:hAnsi="Times New Roman" w:cs="Times New Roman"/>
                <w:color w:val="auto"/>
              </w:rPr>
              <w:t>Merkez Müdür veya Yardımcılarının görevi geçici olarak üstlenmesi</w:t>
            </w:r>
          </w:p>
        </w:tc>
      </w:tr>
      <w:tr w:rsidR="006B4685" w:rsidRPr="006173E3" w:rsidTr="001A1BDB">
        <w:trPr>
          <w:trHeight w:val="3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6B4685" w:rsidP="009E1B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1A1BDB" w:rsidP="009E1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sitesinin güncellenmesi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1A1BDB" w:rsidP="009E1B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İtibar kaybı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1A1BDB" w:rsidP="009E1B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Pr="006B4685" w:rsidRDefault="001A1BDB" w:rsidP="009E1B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Merkez personelinin siteyi kontrol etmesi</w:t>
            </w:r>
          </w:p>
        </w:tc>
      </w:tr>
      <w:tr w:rsidR="001A1BDB" w:rsidRPr="006173E3" w:rsidTr="008E3DEE">
        <w:trPr>
          <w:trHeight w:val="3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DB" w:rsidRDefault="001A1BDB" w:rsidP="009E1B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</w:pPr>
            <w:r>
              <w:t xml:space="preserve">Merkeze ait evrak </w:t>
            </w:r>
            <w:r w:rsidRPr="00D536D8">
              <w:t xml:space="preserve">işlerinin (gelen-giden yazı; Yönetim </w:t>
            </w:r>
            <w:r w:rsidRPr="00D536D8">
              <w:lastRenderedPageBreak/>
              <w:t>Kurulu kararları) zamanında yapılması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İtibar kaybı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</w:pPr>
            <w:r>
              <w:t>Orta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</w:pPr>
            <w:r>
              <w:t>Birim evrak sorumlularının denetimi yapması</w:t>
            </w:r>
          </w:p>
        </w:tc>
      </w:tr>
      <w:tr w:rsidR="001A1BDB" w:rsidRPr="006173E3" w:rsidTr="008E3DEE">
        <w:trPr>
          <w:trHeight w:val="3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DB" w:rsidRDefault="001A1BDB" w:rsidP="009E1B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</w:pPr>
            <w:r>
              <w:t>Kanun ve Yönetmelik/Yönergelerin Takibi ve Uygulanması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Hatalı sonuç/rapor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</w:pPr>
            <w:r>
              <w:t>Düşük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</w:pPr>
            <w:r>
              <w:t>Laboratuvar sorumlusu ve deney personellerinin kontrol etmesi</w:t>
            </w:r>
          </w:p>
        </w:tc>
      </w:tr>
      <w:tr w:rsidR="001A1BDB" w:rsidRPr="006173E3" w:rsidTr="008E3DEE">
        <w:trPr>
          <w:trHeight w:val="3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DB" w:rsidRDefault="001A1BDB" w:rsidP="009E1B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D96A56">
            <w:pPr>
              <w:jc w:val="center"/>
            </w:pPr>
            <w:r>
              <w:t xml:space="preserve">Stratejik planın </w:t>
            </w:r>
            <w:bookmarkStart w:id="0" w:name="_GoBack"/>
            <w:bookmarkEnd w:id="0"/>
            <w:r>
              <w:t>hazırlanması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İtibar kaybı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</w:pPr>
            <w:r>
              <w:t>Orta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BDB" w:rsidRDefault="001A1BDB" w:rsidP="009E1BA4">
            <w:pPr>
              <w:jc w:val="center"/>
            </w:pPr>
            <w:r>
              <w:t>Stratejik planlama ekibinin kontrol etmesi</w:t>
            </w:r>
          </w:p>
        </w:tc>
      </w:tr>
      <w:tr w:rsidR="00E9673D" w:rsidRPr="006173E3" w:rsidTr="001A1BDB">
        <w:trPr>
          <w:trHeight w:val="1701"/>
        </w:trPr>
        <w:tc>
          <w:tcPr>
            <w:tcW w:w="5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E9673D" w:rsidRPr="006173E3" w:rsidRDefault="00E9673D" w:rsidP="009E1B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673D" w:rsidRPr="001F4DD8" w:rsidRDefault="00E9673D" w:rsidP="009E1BA4">
            <w:pPr>
              <w:spacing w:after="5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DD8">
              <w:rPr>
                <w:rFonts w:ascii="Times New Roman" w:hAnsi="Times New Roman" w:cs="Times New Roman"/>
                <w:b/>
              </w:rPr>
              <w:t>Hazırlayan</w:t>
            </w:r>
          </w:p>
          <w:p w:rsidR="00E9673D" w:rsidRPr="006173E3" w:rsidRDefault="00D74891" w:rsidP="009E1BA4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31.03.2023</w:t>
            </w:r>
          </w:p>
          <w:p w:rsidR="00E9673D" w:rsidRPr="006173E3" w:rsidRDefault="00D74891" w:rsidP="009E1BA4">
            <w:pPr>
              <w:spacing w:after="44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3E3">
              <w:rPr>
                <w:rFonts w:ascii="Times New Roman" w:hAnsi="Times New Roman" w:cs="Times New Roman"/>
              </w:rPr>
              <w:t>Öğr</w:t>
            </w:r>
            <w:proofErr w:type="spellEnd"/>
            <w:r w:rsidRPr="006173E3">
              <w:rPr>
                <w:rFonts w:ascii="Times New Roman" w:hAnsi="Times New Roman" w:cs="Times New Roman"/>
              </w:rPr>
              <w:t>. Gör Gaye UMURHAN</w:t>
            </w:r>
          </w:p>
          <w:p w:rsidR="00D74891" w:rsidRPr="006173E3" w:rsidRDefault="00D74891" w:rsidP="009E1BA4">
            <w:pPr>
              <w:spacing w:after="44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3E3">
              <w:rPr>
                <w:rFonts w:ascii="Times New Roman" w:hAnsi="Times New Roman" w:cs="Times New Roman"/>
              </w:rPr>
              <w:t>Öğr</w:t>
            </w:r>
            <w:proofErr w:type="spellEnd"/>
            <w:r w:rsidRPr="006173E3">
              <w:rPr>
                <w:rFonts w:ascii="Times New Roman" w:hAnsi="Times New Roman" w:cs="Times New Roman"/>
              </w:rPr>
              <w:t>. Gör. Gül ÖZMEN</w:t>
            </w:r>
          </w:p>
          <w:p w:rsidR="00E9673D" w:rsidRPr="006173E3" w:rsidRDefault="00E9673D" w:rsidP="009E1BA4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3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F4DD8" w:rsidRDefault="001F4DD8" w:rsidP="009E1BA4">
            <w:pPr>
              <w:spacing w:after="51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673D" w:rsidRPr="001F4DD8" w:rsidRDefault="00E9673D" w:rsidP="009E1BA4">
            <w:pPr>
              <w:spacing w:after="5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DD8">
              <w:rPr>
                <w:rFonts w:ascii="Times New Roman" w:hAnsi="Times New Roman" w:cs="Times New Roman"/>
                <w:b/>
              </w:rPr>
              <w:t>Onaylayan</w:t>
            </w:r>
          </w:p>
          <w:p w:rsidR="00E9673D" w:rsidRPr="006173E3" w:rsidRDefault="006173E3" w:rsidP="009E1BA4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6173E3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Merkez Müdürü</w:t>
            </w:r>
          </w:p>
          <w:p w:rsidR="006173E3" w:rsidRPr="006173E3" w:rsidRDefault="006173E3" w:rsidP="009E1BA4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31.03.2023</w:t>
            </w:r>
          </w:p>
          <w:p w:rsidR="006173E3" w:rsidRPr="006173E3" w:rsidRDefault="006173E3" w:rsidP="009E1BA4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3E3">
              <w:rPr>
                <w:rFonts w:ascii="Times New Roman" w:eastAsia="Times New Roman" w:hAnsi="Times New Roman" w:cs="Times New Roman"/>
              </w:rPr>
              <w:t>Prof. Dr. Haluk KORALAY</w:t>
            </w:r>
          </w:p>
          <w:p w:rsidR="00E9673D" w:rsidRPr="006173E3" w:rsidRDefault="00E9673D" w:rsidP="009E1BA4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7256" w:rsidRDefault="004E7256" w:rsidP="009E1BA4">
      <w:pPr>
        <w:jc w:val="center"/>
      </w:pPr>
    </w:p>
    <w:sectPr w:rsidR="004E7256" w:rsidSect="00E9673D">
      <w:headerReference w:type="default" r:id="rId7"/>
      <w:pgSz w:w="15840" w:h="12240" w:orient="landscape"/>
      <w:pgMar w:top="1440" w:right="1440" w:bottom="1440" w:left="144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4F" w:rsidRDefault="00C65E4F" w:rsidP="00B831FE">
      <w:pPr>
        <w:spacing w:line="240" w:lineRule="auto"/>
      </w:pPr>
      <w:r>
        <w:separator/>
      </w:r>
    </w:p>
  </w:endnote>
  <w:endnote w:type="continuationSeparator" w:id="0">
    <w:p w:rsidR="00C65E4F" w:rsidRDefault="00C65E4F" w:rsidP="00B83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4F" w:rsidRDefault="00C65E4F" w:rsidP="00B831FE">
      <w:pPr>
        <w:spacing w:line="240" w:lineRule="auto"/>
      </w:pPr>
      <w:r>
        <w:separator/>
      </w:r>
    </w:p>
  </w:footnote>
  <w:footnote w:type="continuationSeparator" w:id="0">
    <w:p w:rsidR="00C65E4F" w:rsidRDefault="00C65E4F" w:rsidP="00B83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horzAnchor="margin" w:tblpXSpec="center" w:tblpY="-900"/>
      <w:tblW w:w="14693" w:type="dxa"/>
      <w:tblInd w:w="0" w:type="dxa"/>
      <w:tblCellMar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941"/>
      <w:gridCol w:w="8464"/>
      <w:gridCol w:w="2139"/>
      <w:gridCol w:w="2149"/>
    </w:tblGrid>
    <w:tr w:rsidR="00C00F5F" w:rsidRPr="00C00F5F" w:rsidTr="00116A5D">
      <w:trPr>
        <w:trHeight w:val="259"/>
      </w:trPr>
      <w:tc>
        <w:tcPr>
          <w:tcW w:w="194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00F5F" w:rsidRPr="00C00F5F" w:rsidRDefault="00C00F5F" w:rsidP="00C00F5F">
          <w:pPr>
            <w:pStyle w:val="stBilgi"/>
            <w:jc w:val="center"/>
          </w:pPr>
          <w:r w:rsidRPr="00C00F5F">
            <w:rPr>
              <w:noProof/>
            </w:rPr>
            <w:drawing>
              <wp:inline distT="0" distB="0" distL="0" distR="0" wp14:anchorId="1BD776EA" wp14:editId="33F9B36B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00F5F" w:rsidRPr="00C00F5F" w:rsidRDefault="00C00F5F" w:rsidP="00E9673D">
          <w:pPr>
            <w:pStyle w:val="stBilgi"/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C00F5F">
            <w:rPr>
              <w:rFonts w:asciiTheme="minorHAnsi" w:hAnsiTheme="minorHAnsi" w:cstheme="minorHAnsi"/>
              <w:b/>
            </w:rPr>
            <w:t xml:space="preserve">Hassas Görev </w:t>
          </w:r>
          <w:r w:rsidR="00E9673D">
            <w:rPr>
              <w:rFonts w:asciiTheme="minorHAnsi" w:hAnsiTheme="minorHAnsi" w:cstheme="minorHAnsi"/>
              <w:b/>
            </w:rPr>
            <w:t>Tespit</w:t>
          </w:r>
          <w:r w:rsidRPr="00C00F5F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Doküman No: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DC7EBE" w:rsidP="00FE7DC5">
          <w:pPr>
            <w:pStyle w:val="stBilgi"/>
          </w:pPr>
          <w:r>
            <w:t>G</w:t>
          </w:r>
          <w:r w:rsidR="00FE7DC5">
            <w:t>AZİ.FR.0114</w:t>
          </w:r>
        </w:p>
      </w:tc>
    </w:tr>
    <w:tr w:rsidR="00C00F5F" w:rsidRPr="00C00F5F" w:rsidTr="00116A5D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Yayın Tarihi: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  <w:r w:rsidRPr="00C00F5F">
            <w:t>29.06.2022</w:t>
          </w:r>
        </w:p>
      </w:tc>
    </w:tr>
    <w:tr w:rsidR="00C00F5F" w:rsidRPr="00C00F5F" w:rsidTr="00116A5D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Revizyon Tarihi: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</w:tr>
    <w:tr w:rsidR="00C00F5F" w:rsidRPr="00C00F5F" w:rsidTr="00116A5D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Revizyon No: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</w:tr>
    <w:tr w:rsidR="00C00F5F" w:rsidRPr="00C00F5F" w:rsidTr="00116A5D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Sayfa: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897876" w:rsidP="00C00F5F">
          <w:pPr>
            <w:pStyle w:val="stBilgi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D96A56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D96A56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C00F5F" w:rsidRDefault="00C00F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75EB"/>
    <w:multiLevelType w:val="hybridMultilevel"/>
    <w:tmpl w:val="898C5F26"/>
    <w:lvl w:ilvl="0" w:tplc="D9CC1E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0CA"/>
    <w:multiLevelType w:val="hybridMultilevel"/>
    <w:tmpl w:val="C0AC0900"/>
    <w:lvl w:ilvl="0" w:tplc="97A2BA7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411B"/>
    <w:multiLevelType w:val="hybridMultilevel"/>
    <w:tmpl w:val="D5B65F58"/>
    <w:lvl w:ilvl="0" w:tplc="A72AA0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5"/>
    <w:rsid w:val="000017F3"/>
    <w:rsid w:val="00005F67"/>
    <w:rsid w:val="001A1BDB"/>
    <w:rsid w:val="001B7781"/>
    <w:rsid w:val="001F4DD8"/>
    <w:rsid w:val="00273D2A"/>
    <w:rsid w:val="002A63D7"/>
    <w:rsid w:val="002C7860"/>
    <w:rsid w:val="00371722"/>
    <w:rsid w:val="004E7256"/>
    <w:rsid w:val="00517742"/>
    <w:rsid w:val="006173E3"/>
    <w:rsid w:val="00642E2A"/>
    <w:rsid w:val="006B4685"/>
    <w:rsid w:val="00750F25"/>
    <w:rsid w:val="00781D66"/>
    <w:rsid w:val="00800224"/>
    <w:rsid w:val="00897876"/>
    <w:rsid w:val="008A202F"/>
    <w:rsid w:val="009337BA"/>
    <w:rsid w:val="009C0104"/>
    <w:rsid w:val="009E1BA4"/>
    <w:rsid w:val="00A233CC"/>
    <w:rsid w:val="00B831FE"/>
    <w:rsid w:val="00BD6C72"/>
    <w:rsid w:val="00C00F5F"/>
    <w:rsid w:val="00C63800"/>
    <w:rsid w:val="00C65E4F"/>
    <w:rsid w:val="00D74891"/>
    <w:rsid w:val="00D74BBE"/>
    <w:rsid w:val="00D96A56"/>
    <w:rsid w:val="00DC7EBE"/>
    <w:rsid w:val="00E9673D"/>
    <w:rsid w:val="00F26466"/>
    <w:rsid w:val="00F30E0C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3AE9"/>
  <w15:docId w15:val="{F8D59540-D222-456D-A83B-DBD9DD0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831F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1F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831F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1FE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E9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Gazi</cp:lastModifiedBy>
  <cp:revision>16</cp:revision>
  <dcterms:created xsi:type="dcterms:W3CDTF">2022-10-24T14:29:00Z</dcterms:created>
  <dcterms:modified xsi:type="dcterms:W3CDTF">2023-10-03T08:41:00Z</dcterms:modified>
</cp:coreProperties>
</file>