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8160C">
        <w:rPr>
          <w:rFonts w:ascii="Times New Roman" w:hAnsi="Times New Roman" w:cs="Times New Roman"/>
          <w:sz w:val="24"/>
          <w:szCs w:val="24"/>
          <w:lang w:val="en-GB"/>
        </w:rPr>
        <w:t>Decision</w:t>
      </w:r>
      <w:r w:rsidRPr="00D06139">
        <w:rPr>
          <w:rFonts w:ascii="Times New Roman" w:hAnsi="Times New Roman" w:cs="Times New Roman"/>
          <w:sz w:val="24"/>
          <w:szCs w:val="24"/>
        </w:rPr>
        <w:t xml:space="preserve"> 22/05/2024- 01/07 Our “ORPHEUS SUPERVISION WORKSHOP ON PHD EDUCATION IN BIOMEDICINE &amp; HEALTH SCIENCES” workshop, which we conducted as a hybrid in 3 different conference halls between 9.00-17.30 on May 03, 2024, was very productive with the active participation of our professors and students.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6139">
        <w:rPr>
          <w:rFonts w:ascii="Times New Roman" w:hAnsi="Times New Roman" w:cs="Times New Roman"/>
          <w:sz w:val="24"/>
          <w:szCs w:val="24"/>
        </w:rPr>
        <w:t>ORPHEUS Vice President Prof. Janet Carton (University College Dublin, Ireland), Board Member Prof. Rudolf Schubert (University of Augsburg, Germany),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>The Chair of the ORPHEUS Label Committee, Prof. Michael Mulvany (Aarhus University,</w:t>
      </w:r>
      <w:r w:rsidRPr="00D8160C">
        <w:rPr>
          <w:rFonts w:ascii="Times New Roman" w:hAnsi="Times New Roman" w:cs="Times New Roman"/>
          <w:sz w:val="24"/>
          <w:szCs w:val="24"/>
          <w:lang w:val="en-GB"/>
        </w:rPr>
        <w:t xml:space="preserve"> Denmark</w:t>
      </w:r>
      <w:r w:rsidRPr="00D06139">
        <w:rPr>
          <w:rFonts w:ascii="Times New Roman" w:hAnsi="Times New Roman" w:cs="Times New Roman"/>
          <w:sz w:val="24"/>
          <w:szCs w:val="24"/>
        </w:rPr>
        <w:t>) and Label Committee Member Prof. Gül Güner-</w:t>
      </w:r>
      <w:proofErr w:type="spellStart"/>
      <w:r w:rsidRPr="00C70269">
        <w:rPr>
          <w:rFonts w:ascii="Times New Roman" w:hAnsi="Times New Roman" w:cs="Times New Roman"/>
          <w:sz w:val="24"/>
          <w:szCs w:val="24"/>
          <w:lang w:val="en-GB"/>
        </w:rPr>
        <w:t>Akdogan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Izmir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139">
        <w:rPr>
          <w:rFonts w:ascii="Times New Roman" w:hAnsi="Times New Roman" w:cs="Times New Roman"/>
          <w:sz w:val="24"/>
          <w:szCs w:val="24"/>
        </w:rPr>
        <w:t>workshop</w:t>
      </w:r>
      <w:proofErr w:type="gramEnd"/>
      <w:r w:rsidRPr="00D06139">
        <w:rPr>
          <w:rFonts w:ascii="Times New Roman" w:hAnsi="Times New Roman" w:cs="Times New Roman"/>
          <w:sz w:val="24"/>
          <w:szCs w:val="24"/>
        </w:rPr>
        <w:t>.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intent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subsequently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professors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;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1: ORPHEUS CERTIFICATE</w:t>
      </w:r>
    </w:p>
    <w:p w:rsidR="00D06139" w:rsidRPr="00D06139" w:rsidRDefault="00D06139" w:rsidP="00D06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Gazi University </w:t>
      </w:r>
    </w:p>
    <w:p w:rsidR="00D06139" w:rsidRPr="00D06139" w:rsidRDefault="00D06139" w:rsidP="00D06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>Acıbadem University</w:t>
      </w:r>
      <w:r w:rsidRPr="00D0613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6139" w:rsidRPr="00D06139" w:rsidRDefault="00D06139" w:rsidP="00D06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2: ORPHEUS LABEL</w:t>
      </w:r>
    </w:p>
    <w:p w:rsidR="00D06139" w:rsidRPr="00D06139" w:rsidRDefault="00D06139" w:rsidP="00D06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Dokuz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Eylul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University</w:t>
      </w:r>
      <w:proofErr w:type="spellEnd"/>
    </w:p>
    <w:p w:rsidR="00D06139" w:rsidRPr="00D06139" w:rsidRDefault="00D06139" w:rsidP="00D06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Hacettepe University   </w:t>
      </w:r>
    </w:p>
    <w:p w:rsidR="00D06139" w:rsidRPr="00D06139" w:rsidRDefault="00D06139" w:rsidP="00D06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>Kocaeli University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>GRADUATION REQUIREMENTS INSTITUTE OF HEALTH SCIENCES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met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.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*/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symposiums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***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patent /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utility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stage</w:t>
      </w:r>
      <w:proofErr w:type="spellEnd"/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>*: TR Index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**: Q1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Q2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***: International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Board of Directors of the University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lastRenderedPageBreak/>
        <w:t xml:space="preserve">B. At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B1, B2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B3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fulfilled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jury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ORPHEUS (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Doctorate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Biomedicine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.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B.1.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SCI-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SSCI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AHCI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Q1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name.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39">
        <w:rPr>
          <w:rFonts w:ascii="Times New Roman" w:hAnsi="Times New Roman" w:cs="Times New Roman"/>
          <w:sz w:val="24"/>
          <w:szCs w:val="24"/>
        </w:rPr>
        <w:t xml:space="preserve">B.2.At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his/her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his/her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SCI-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SSCI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AHCI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Q2,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name,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****</w:t>
      </w:r>
      <w:proofErr w:type="gramEnd"/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B.3.PhD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name;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An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SCI-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SSCI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AHCI****.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An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indexes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(*****)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School Board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.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An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indexes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School Board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.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****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patent /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utility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it can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Q1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39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; 3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B3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fulfilled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ORPHEUS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agrees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it can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ORPHEUS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B3 can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fulfillment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B3.</w:t>
      </w:r>
      <w:proofErr w:type="gramEnd"/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>OUR COMMENTS AND SUGGESTIONS ON THE DRAFT STUDY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6 of Gazi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Doctorate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Application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;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consultancy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retired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School Board of Directors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TÖK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TİK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quotas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loads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first-degree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kinship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juries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9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Advisory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Assignments</w:t>
      </w:r>
      <w:proofErr w:type="spellEnd"/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Sciences</w:t>
      </w:r>
      <w:proofErr w:type="spellEnd"/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A1, A2, A4 and A5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A3: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A1.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/be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excluding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  <w:r w:rsidRPr="00D06139">
        <w:rPr>
          <w:rFonts w:ascii="Times New Roman" w:hAnsi="Times New Roman" w:cs="Times New Roman"/>
          <w:sz w:val="24"/>
          <w:szCs w:val="24"/>
        </w:rPr>
        <w:t xml:space="preserve">A2.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139">
        <w:rPr>
          <w:rFonts w:ascii="Times New Roman" w:hAnsi="Times New Roman" w:cs="Times New Roman"/>
          <w:sz w:val="24"/>
          <w:szCs w:val="24"/>
        </w:rPr>
        <w:t>thesis</w:t>
      </w:r>
      <w:proofErr w:type="spellEnd"/>
    </w:p>
    <w:p w:rsidR="00D06139" w:rsidRPr="00D06139" w:rsidRDefault="00D06139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56" w:rsidRPr="00D06139" w:rsidRDefault="004C2556" w:rsidP="00D06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556" w:rsidRPr="00D0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2575"/>
    <w:multiLevelType w:val="hybridMultilevel"/>
    <w:tmpl w:val="14B24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34"/>
    <w:rsid w:val="004C2556"/>
    <w:rsid w:val="00563634"/>
    <w:rsid w:val="007F0162"/>
    <w:rsid w:val="00C70269"/>
    <w:rsid w:val="00D06139"/>
    <w:rsid w:val="00D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453DD-FA73-4537-AB6E-572902A8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4</cp:revision>
  <dcterms:created xsi:type="dcterms:W3CDTF">2024-06-03T07:46:00Z</dcterms:created>
  <dcterms:modified xsi:type="dcterms:W3CDTF">2024-06-03T07:51:00Z</dcterms:modified>
</cp:coreProperties>
</file>