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367"/>
        <w:gridCol w:w="5755"/>
      </w:tblGrid>
      <w:tr w:rsidR="006255AF" w:rsidRPr="00C577DC" w:rsidTr="00F81503">
        <w:trPr>
          <w:trHeight w:val="315"/>
        </w:trPr>
        <w:tc>
          <w:tcPr>
            <w:tcW w:w="10492" w:type="dxa"/>
            <w:gridSpan w:val="3"/>
            <w:shd w:val="clear" w:color="auto" w:fill="DEEAF6"/>
            <w:vAlign w:val="center"/>
            <w:hideMark/>
          </w:tcPr>
          <w:p w:rsidR="006255AF" w:rsidRPr="00C577DC" w:rsidRDefault="00C577DC" w:rsidP="00F81503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C577DC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6255AF" w:rsidRPr="00C577DC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gridSpan w:val="2"/>
            <w:shd w:val="clear" w:color="auto" w:fill="auto"/>
            <w:noWrap/>
            <w:vAlign w:val="center"/>
          </w:tcPr>
          <w:p w:rsidR="006255AF" w:rsidRPr="00CB2712" w:rsidRDefault="00B0298B" w:rsidP="00A14429">
            <w:pPr>
              <w:pStyle w:val="Balk4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CB2712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SYB </w:t>
            </w:r>
            <w:r w:rsidR="00A14429">
              <w:rPr>
                <w:rFonts w:cs="Times New Roman"/>
                <w:b/>
                <w:bCs/>
                <w:sz w:val="20"/>
                <w:szCs w:val="20"/>
                <w:lang w:val="en-US"/>
              </w:rPr>
              <w:t>102</w:t>
            </w:r>
            <w:r w:rsidR="00CB2712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C577DC" w:rsidRPr="00CB2712">
              <w:rPr>
                <w:rFonts w:cs="Times New Roman"/>
                <w:b/>
                <w:bCs/>
                <w:sz w:val="20"/>
                <w:szCs w:val="20"/>
                <w:lang w:val="en-US"/>
              </w:rPr>
              <w:t>ADMINISTRATION STRUCTURE OF TURKEY</w:t>
            </w:r>
          </w:p>
        </w:tc>
      </w:tr>
      <w:tr w:rsidR="006255AF" w:rsidRPr="00C577DC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gridSpan w:val="2"/>
            <w:shd w:val="clear" w:color="auto" w:fill="auto"/>
            <w:noWrap/>
            <w:vAlign w:val="center"/>
          </w:tcPr>
          <w:p w:rsidR="006255AF" w:rsidRPr="00C577DC" w:rsidRDefault="00AB337F" w:rsidP="009F46A7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  <w:r w:rsidRPr="00AB337F">
              <w:rPr>
                <w:color w:val="000000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072C5D" w:rsidRPr="00C577DC">
              <w:rPr>
                <w:color w:val="000000"/>
                <w:sz w:val="20"/>
                <w:szCs w:val="20"/>
                <w:lang w:val="en-US"/>
              </w:rPr>
              <w:t xml:space="preserve"> Semester</w:t>
            </w:r>
          </w:p>
        </w:tc>
      </w:tr>
      <w:tr w:rsidR="006255AF" w:rsidRPr="00C577DC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gridSpan w:val="2"/>
            <w:shd w:val="clear" w:color="auto" w:fill="auto"/>
            <w:noWrap/>
            <w:vAlign w:val="center"/>
          </w:tcPr>
          <w:p w:rsidR="00A85517" w:rsidRPr="00C577DC" w:rsidRDefault="00A85517" w:rsidP="00A85517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Management concepts, management systems, definition of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goverments</w:t>
            </w:r>
            <w:proofErr w:type="spell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 and parts, central and civic management concepts and central and civic management units, political and managerial organization of Turkey, legislation, management and judgement, and civic</w:t>
            </w:r>
          </w:p>
          <w:p w:rsidR="006255AF" w:rsidRPr="00C577DC" w:rsidRDefault="00A85517" w:rsidP="00A85517">
            <w:pPr>
              <w:rPr>
                <w:color w:val="000000"/>
                <w:sz w:val="20"/>
                <w:szCs w:val="20"/>
                <w:lang w:val="en-US"/>
              </w:rPr>
            </w:pPr>
            <w:proofErr w:type="gramStart"/>
            <w:r w:rsidRPr="00C577DC">
              <w:rPr>
                <w:color w:val="000000"/>
                <w:sz w:val="20"/>
                <w:szCs w:val="20"/>
                <w:lang w:val="en-US"/>
              </w:rPr>
              <w:t>public</w:t>
            </w:r>
            <w:proofErr w:type="gram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 service units of Turkey.</w:t>
            </w:r>
          </w:p>
        </w:tc>
      </w:tr>
      <w:tr w:rsidR="006255AF" w:rsidRPr="00C577DC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gridSpan w:val="2"/>
            <w:shd w:val="clear" w:color="auto" w:fill="auto"/>
            <w:noWrap/>
            <w:vAlign w:val="center"/>
          </w:tcPr>
          <w:p w:rsidR="00A85517" w:rsidRPr="00C577DC" w:rsidRDefault="00A85517" w:rsidP="00A85517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A.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Şeref</w:t>
            </w:r>
            <w:proofErr w:type="spell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Gözübüyük</w:t>
            </w:r>
            <w:proofErr w:type="spell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Türkiye’nin</w:t>
            </w:r>
            <w:proofErr w:type="spell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Yönetim</w:t>
            </w:r>
            <w:proofErr w:type="spell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Yapısı</w:t>
            </w:r>
            <w:proofErr w:type="spell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6255AF" w:rsidRPr="00C577DC" w:rsidRDefault="00A85517" w:rsidP="00A85517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 w:rsidR="006255AF" w:rsidRPr="00C577DC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gridSpan w:val="2"/>
            <w:shd w:val="clear" w:color="auto" w:fill="auto"/>
            <w:noWrap/>
            <w:vAlign w:val="center"/>
          </w:tcPr>
          <w:p w:rsidR="00A85517" w:rsidRPr="00C577DC" w:rsidRDefault="006255AF" w:rsidP="00A85517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-</w:t>
            </w:r>
            <w:r w:rsidR="00A85517" w:rsidRPr="00C577DC">
              <w:rPr>
                <w:color w:val="000000"/>
                <w:sz w:val="20"/>
                <w:szCs w:val="20"/>
                <w:lang w:val="en-US"/>
              </w:rPr>
              <w:t xml:space="preserve">Burhan </w:t>
            </w:r>
            <w:proofErr w:type="spellStart"/>
            <w:r w:rsidR="00A85517" w:rsidRPr="00C577DC">
              <w:rPr>
                <w:color w:val="000000"/>
                <w:sz w:val="20"/>
                <w:szCs w:val="20"/>
                <w:lang w:val="en-US"/>
              </w:rPr>
              <w:t>Aykaç</w:t>
            </w:r>
            <w:proofErr w:type="spellEnd"/>
            <w:r w:rsidR="00A85517" w:rsidRPr="00C577DC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A85517" w:rsidRPr="00C577DC">
              <w:rPr>
                <w:color w:val="000000"/>
                <w:sz w:val="20"/>
                <w:szCs w:val="20"/>
                <w:lang w:val="en-US"/>
              </w:rPr>
              <w:t>Şenol</w:t>
            </w:r>
            <w:proofErr w:type="spellEnd"/>
            <w:r w:rsidR="00A85517"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85517" w:rsidRPr="00C577DC">
              <w:rPr>
                <w:color w:val="000000"/>
                <w:sz w:val="20"/>
                <w:szCs w:val="20"/>
                <w:lang w:val="en-US"/>
              </w:rPr>
              <w:t>Durgun</w:t>
            </w:r>
            <w:proofErr w:type="spellEnd"/>
            <w:r w:rsidR="00A85517" w:rsidRPr="00C577DC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A85517" w:rsidRPr="00C577DC">
              <w:rPr>
                <w:color w:val="000000"/>
                <w:sz w:val="20"/>
                <w:szCs w:val="20"/>
                <w:lang w:val="en-US"/>
              </w:rPr>
              <w:t>Hüseyin</w:t>
            </w:r>
            <w:proofErr w:type="spellEnd"/>
            <w:r w:rsidR="00A85517"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85517" w:rsidRPr="00C577DC">
              <w:rPr>
                <w:color w:val="000000"/>
                <w:sz w:val="20"/>
                <w:szCs w:val="20"/>
                <w:lang w:val="en-US"/>
              </w:rPr>
              <w:t>Yayman</w:t>
            </w:r>
            <w:proofErr w:type="spellEnd"/>
            <w:r w:rsidR="00A85517" w:rsidRPr="00C577DC">
              <w:rPr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="00A85517" w:rsidRPr="00C577DC">
              <w:rPr>
                <w:color w:val="000000"/>
                <w:sz w:val="20"/>
                <w:szCs w:val="20"/>
                <w:lang w:val="en-US"/>
              </w:rPr>
              <w:t>Türkiye’de</w:t>
            </w:r>
            <w:proofErr w:type="spellEnd"/>
            <w:r w:rsidR="00A85517"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85517" w:rsidRPr="00C577DC">
              <w:rPr>
                <w:color w:val="000000"/>
                <w:sz w:val="20"/>
                <w:szCs w:val="20"/>
                <w:lang w:val="en-US"/>
              </w:rPr>
              <w:t>Kamu</w:t>
            </w:r>
            <w:proofErr w:type="spellEnd"/>
            <w:r w:rsidR="00A85517"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85517" w:rsidRPr="00C577DC">
              <w:rPr>
                <w:color w:val="000000"/>
                <w:sz w:val="20"/>
                <w:szCs w:val="20"/>
                <w:lang w:val="en-US"/>
              </w:rPr>
              <w:t>Yönetimi</w:t>
            </w:r>
            <w:proofErr w:type="spellEnd"/>
          </w:p>
          <w:p w:rsidR="004013A3" w:rsidRPr="00C577DC" w:rsidRDefault="00A85517" w:rsidP="00A85517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-Murat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Kalfa</w:t>
            </w:r>
            <w:proofErr w:type="spell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Türkiye’nin</w:t>
            </w:r>
            <w:proofErr w:type="spell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Yönetim</w:t>
            </w:r>
            <w:proofErr w:type="spell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Yapısı</w:t>
            </w:r>
            <w:proofErr w:type="spell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Ders</w:t>
            </w:r>
            <w:proofErr w:type="spell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Notları</w:t>
            </w:r>
            <w:proofErr w:type="spellEnd"/>
          </w:p>
          <w:p w:rsidR="006255AF" w:rsidRPr="00C577DC" w:rsidRDefault="004013A3" w:rsidP="00A85517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-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Zafer</w:t>
            </w:r>
            <w:proofErr w:type="spell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Çimen</w:t>
            </w:r>
            <w:proofErr w:type="spell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Türkiye’nin</w:t>
            </w:r>
            <w:proofErr w:type="spell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Yönetim</w:t>
            </w:r>
            <w:proofErr w:type="spell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Yapısı</w:t>
            </w:r>
            <w:proofErr w:type="spell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Ders</w:t>
            </w:r>
            <w:proofErr w:type="spellEnd"/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77DC">
              <w:rPr>
                <w:color w:val="000000"/>
                <w:sz w:val="20"/>
                <w:szCs w:val="20"/>
                <w:lang w:val="en-US"/>
              </w:rPr>
              <w:t>Notları</w:t>
            </w:r>
            <w:proofErr w:type="spellEnd"/>
          </w:p>
        </w:tc>
      </w:tr>
      <w:tr w:rsidR="006255AF" w:rsidRPr="00C577D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gridSpan w:val="2"/>
            <w:shd w:val="clear" w:color="auto" w:fill="auto"/>
            <w:noWrap/>
            <w:vAlign w:val="center"/>
            <w:hideMark/>
          </w:tcPr>
          <w:p w:rsidR="006255AF" w:rsidRPr="00C577DC" w:rsidRDefault="002132A7" w:rsidP="00F8150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6255AF" w:rsidRPr="00C577DC" w:rsidTr="00F81503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gridSpan w:val="2"/>
            <w:shd w:val="clear" w:color="auto" w:fill="auto"/>
            <w:noWrap/>
            <w:vAlign w:val="center"/>
          </w:tcPr>
          <w:p w:rsidR="006255AF" w:rsidRPr="00C577DC" w:rsidRDefault="0033474B" w:rsidP="00F8150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C577D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gridSpan w:val="2"/>
            <w:shd w:val="clear" w:color="auto" w:fill="auto"/>
            <w:noWrap/>
            <w:vAlign w:val="center"/>
          </w:tcPr>
          <w:p w:rsidR="006255AF" w:rsidRPr="00C577DC" w:rsidRDefault="004013A3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Compulsory</w:t>
            </w:r>
          </w:p>
        </w:tc>
      </w:tr>
      <w:tr w:rsidR="006255AF" w:rsidRPr="00C577D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gridSpan w:val="2"/>
            <w:shd w:val="clear" w:color="auto" w:fill="auto"/>
            <w:noWrap/>
            <w:vAlign w:val="center"/>
          </w:tcPr>
          <w:p w:rsidR="006255AF" w:rsidRPr="00C577D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6255AF" w:rsidRPr="00C577DC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gridSpan w:val="2"/>
            <w:shd w:val="clear" w:color="auto" w:fill="auto"/>
            <w:noWrap/>
            <w:vAlign w:val="center"/>
          </w:tcPr>
          <w:p w:rsidR="006255AF" w:rsidRPr="00C577DC" w:rsidRDefault="006255AF" w:rsidP="004013A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The aim of this course is to </w:t>
            </w:r>
            <w:r w:rsidR="004013A3" w:rsidRPr="00C577DC">
              <w:rPr>
                <w:sz w:val="20"/>
                <w:szCs w:val="20"/>
                <w:lang w:val="en-US"/>
              </w:rPr>
              <w:t xml:space="preserve"> </w:t>
            </w:r>
            <w:r w:rsidR="004013A3" w:rsidRPr="00C577DC">
              <w:rPr>
                <w:color w:val="000000"/>
                <w:sz w:val="20"/>
                <w:szCs w:val="20"/>
                <w:lang w:val="en-US"/>
              </w:rPr>
              <w:t>understand the management structure and organization of Turkey, and to make comparison between today’s modern management styles and Turkish management style</w:t>
            </w:r>
          </w:p>
        </w:tc>
      </w:tr>
      <w:tr w:rsidR="006255AF" w:rsidRPr="00C577D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gridSpan w:val="2"/>
            <w:shd w:val="clear" w:color="auto" w:fill="auto"/>
            <w:noWrap/>
            <w:vAlign w:val="center"/>
          </w:tcPr>
          <w:p w:rsidR="006255AF" w:rsidRPr="00C577DC" w:rsidRDefault="008F43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Understanding the constitu</w:t>
            </w:r>
            <w:r w:rsidR="00CB2712">
              <w:rPr>
                <w:color w:val="000000"/>
                <w:sz w:val="20"/>
                <w:szCs w:val="20"/>
                <w:lang w:val="en-US"/>
              </w:rPr>
              <w:t>ti</w:t>
            </w:r>
            <w:r w:rsidRPr="00C577DC">
              <w:rPr>
                <w:color w:val="000000"/>
                <w:sz w:val="20"/>
                <w:szCs w:val="20"/>
                <w:lang w:val="en-US"/>
              </w:rPr>
              <w:t>onal and other principles of managerial structure in Turkey</w:t>
            </w:r>
            <w:r w:rsidR="00CB271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C577DC">
              <w:rPr>
                <w:color w:val="000000"/>
                <w:sz w:val="20"/>
                <w:szCs w:val="20"/>
                <w:lang w:val="en-US"/>
              </w:rPr>
              <w:t xml:space="preserve">and conceive the interaction between public institutions and difference between central and civic </w:t>
            </w:r>
            <w:r w:rsidR="00CB2712">
              <w:rPr>
                <w:color w:val="000000"/>
                <w:sz w:val="20"/>
                <w:szCs w:val="20"/>
                <w:lang w:val="en-US"/>
              </w:rPr>
              <w:t>in</w:t>
            </w:r>
            <w:r w:rsidRPr="00C577DC">
              <w:rPr>
                <w:color w:val="000000"/>
                <w:sz w:val="20"/>
                <w:szCs w:val="20"/>
                <w:lang w:val="en-US"/>
              </w:rPr>
              <w:t>stitutions.</w:t>
            </w:r>
          </w:p>
        </w:tc>
      </w:tr>
      <w:tr w:rsidR="006255AF" w:rsidRPr="00C577D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gridSpan w:val="2"/>
            <w:shd w:val="clear" w:color="auto" w:fill="auto"/>
            <w:noWrap/>
            <w:vAlign w:val="center"/>
          </w:tcPr>
          <w:p w:rsidR="006255AF" w:rsidRPr="00C577D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8F4348" w:rsidRPr="00C577DC" w:rsidTr="0057332E">
        <w:trPr>
          <w:trHeight w:val="20"/>
        </w:trPr>
        <w:tc>
          <w:tcPr>
            <w:tcW w:w="4382" w:type="dxa"/>
            <w:vMerge w:val="restart"/>
            <w:shd w:val="clear" w:color="auto" w:fill="DEEAF6"/>
            <w:noWrap/>
            <w:vAlign w:val="center"/>
          </w:tcPr>
          <w:p w:rsidR="008F4348" w:rsidRPr="00C577DC" w:rsidRDefault="008F4348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366" w:type="dxa"/>
            <w:shd w:val="clear" w:color="auto" w:fill="auto"/>
            <w:noWrap/>
            <w:vAlign w:val="center"/>
          </w:tcPr>
          <w:p w:rsidR="008F4348" w:rsidRPr="00C577DC" w:rsidRDefault="008F43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5744" w:type="dxa"/>
            <w:shd w:val="clear" w:color="auto" w:fill="auto"/>
          </w:tcPr>
          <w:p w:rsidR="008F4348" w:rsidRPr="00C577DC" w:rsidRDefault="008F4348" w:rsidP="009424EC">
            <w:pPr>
              <w:pStyle w:val="TableParagraph"/>
              <w:spacing w:line="210" w:lineRule="exact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7DC">
              <w:rPr>
                <w:rFonts w:ascii="Times New Roman" w:hAnsi="Times New Roman" w:cs="Times New Roman"/>
                <w:sz w:val="20"/>
                <w:szCs w:val="20"/>
              </w:rPr>
              <w:t>Structural and operational management</w:t>
            </w:r>
          </w:p>
        </w:tc>
      </w:tr>
      <w:tr w:rsidR="008F4348" w:rsidRPr="00C577DC" w:rsidTr="0057332E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8F4348" w:rsidRPr="00C577DC" w:rsidRDefault="008F4348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6" w:type="dxa"/>
            <w:shd w:val="clear" w:color="auto" w:fill="auto"/>
            <w:noWrap/>
            <w:vAlign w:val="center"/>
          </w:tcPr>
          <w:p w:rsidR="008F4348" w:rsidRPr="00C577DC" w:rsidRDefault="008F43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5744" w:type="dxa"/>
            <w:shd w:val="clear" w:color="auto" w:fill="auto"/>
          </w:tcPr>
          <w:p w:rsidR="008F4348" w:rsidRPr="00C577DC" w:rsidRDefault="008F4348" w:rsidP="009424EC">
            <w:pPr>
              <w:pStyle w:val="TableParagraph"/>
              <w:spacing w:line="210" w:lineRule="exact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7DC">
              <w:rPr>
                <w:rFonts w:ascii="Times New Roman" w:hAnsi="Times New Roman" w:cs="Times New Roman"/>
                <w:sz w:val="20"/>
                <w:szCs w:val="20"/>
              </w:rPr>
              <w:t>Management systems and managerial organizations</w:t>
            </w:r>
          </w:p>
        </w:tc>
      </w:tr>
      <w:tr w:rsidR="008F4348" w:rsidRPr="00C577DC" w:rsidTr="0057332E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8F4348" w:rsidRPr="00C577DC" w:rsidRDefault="008F4348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6" w:type="dxa"/>
            <w:shd w:val="clear" w:color="auto" w:fill="auto"/>
            <w:noWrap/>
            <w:vAlign w:val="center"/>
          </w:tcPr>
          <w:p w:rsidR="008F4348" w:rsidRPr="00C577DC" w:rsidRDefault="008F43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44" w:type="dxa"/>
            <w:shd w:val="clear" w:color="auto" w:fill="auto"/>
          </w:tcPr>
          <w:p w:rsidR="008F4348" w:rsidRPr="00C577DC" w:rsidRDefault="008F4348" w:rsidP="009424EC">
            <w:pPr>
              <w:pStyle w:val="TableParagraph"/>
              <w:spacing w:line="210" w:lineRule="exact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7DC">
              <w:rPr>
                <w:rFonts w:ascii="Times New Roman" w:hAnsi="Times New Roman" w:cs="Times New Roman"/>
                <w:sz w:val="20"/>
                <w:szCs w:val="20"/>
              </w:rPr>
              <w:t>Characteristics of Turkish public administration</w:t>
            </w:r>
          </w:p>
        </w:tc>
      </w:tr>
      <w:tr w:rsidR="008F4348" w:rsidRPr="00C577DC" w:rsidTr="0057332E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8F4348" w:rsidRPr="00C577DC" w:rsidRDefault="008F4348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6" w:type="dxa"/>
            <w:shd w:val="clear" w:color="auto" w:fill="auto"/>
            <w:noWrap/>
            <w:vAlign w:val="center"/>
          </w:tcPr>
          <w:p w:rsidR="008F4348" w:rsidRPr="00C577DC" w:rsidRDefault="008F43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744" w:type="dxa"/>
            <w:shd w:val="clear" w:color="auto" w:fill="auto"/>
          </w:tcPr>
          <w:p w:rsidR="008F4348" w:rsidRPr="00C577DC" w:rsidRDefault="008F4348" w:rsidP="009424EC">
            <w:pPr>
              <w:pStyle w:val="TableParagraph"/>
              <w:spacing w:line="211" w:lineRule="exact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7DC">
              <w:rPr>
                <w:rFonts w:ascii="Times New Roman" w:hAnsi="Times New Roman" w:cs="Times New Roman"/>
                <w:sz w:val="20"/>
                <w:szCs w:val="20"/>
              </w:rPr>
              <w:t>Constitutional principles on Turkish public administration</w:t>
            </w:r>
          </w:p>
        </w:tc>
      </w:tr>
      <w:tr w:rsidR="008F4348" w:rsidRPr="00C577DC" w:rsidTr="0057332E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8F4348" w:rsidRPr="00C577DC" w:rsidRDefault="008F4348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6" w:type="dxa"/>
            <w:shd w:val="clear" w:color="auto" w:fill="auto"/>
            <w:noWrap/>
            <w:vAlign w:val="center"/>
          </w:tcPr>
          <w:p w:rsidR="008F4348" w:rsidRPr="00C577DC" w:rsidRDefault="008F43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744" w:type="dxa"/>
            <w:shd w:val="clear" w:color="auto" w:fill="auto"/>
          </w:tcPr>
          <w:p w:rsidR="008F4348" w:rsidRPr="00C577DC" w:rsidRDefault="008F4348" w:rsidP="009424EC">
            <w:pPr>
              <w:pStyle w:val="TableParagraph"/>
              <w:spacing w:line="210" w:lineRule="exact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7DC">
              <w:rPr>
                <w:rFonts w:ascii="Times New Roman" w:hAnsi="Times New Roman" w:cs="Times New Roman"/>
                <w:sz w:val="20"/>
                <w:szCs w:val="20"/>
              </w:rPr>
              <w:t>The organizational structure of Turkish Public Administration</w:t>
            </w:r>
          </w:p>
        </w:tc>
      </w:tr>
      <w:tr w:rsidR="008F4348" w:rsidRPr="00C577DC" w:rsidTr="0057332E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8F4348" w:rsidRPr="00C577DC" w:rsidRDefault="008F4348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6" w:type="dxa"/>
            <w:shd w:val="clear" w:color="auto" w:fill="auto"/>
            <w:noWrap/>
            <w:vAlign w:val="center"/>
          </w:tcPr>
          <w:p w:rsidR="008F4348" w:rsidRPr="00C577DC" w:rsidRDefault="008F43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5744" w:type="dxa"/>
            <w:shd w:val="clear" w:color="auto" w:fill="auto"/>
          </w:tcPr>
          <w:p w:rsidR="008F4348" w:rsidRPr="00C577DC" w:rsidRDefault="008F4348" w:rsidP="009424EC">
            <w:pPr>
              <w:pStyle w:val="TableParagraph"/>
              <w:spacing w:line="210" w:lineRule="exact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7DC">
              <w:rPr>
                <w:rFonts w:ascii="Times New Roman" w:hAnsi="Times New Roman" w:cs="Times New Roman"/>
                <w:sz w:val="20"/>
                <w:szCs w:val="20"/>
              </w:rPr>
              <w:t>Management tasks</w:t>
            </w:r>
          </w:p>
        </w:tc>
      </w:tr>
      <w:tr w:rsidR="008F4348" w:rsidRPr="00C577DC" w:rsidTr="0057332E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8F4348" w:rsidRPr="00C577DC" w:rsidRDefault="008F4348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6" w:type="dxa"/>
            <w:shd w:val="clear" w:color="auto" w:fill="auto"/>
            <w:noWrap/>
            <w:vAlign w:val="center"/>
          </w:tcPr>
          <w:p w:rsidR="008F4348" w:rsidRPr="00C577DC" w:rsidRDefault="008F43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5744" w:type="dxa"/>
            <w:shd w:val="clear" w:color="auto" w:fill="auto"/>
          </w:tcPr>
          <w:p w:rsidR="008F4348" w:rsidRPr="00C577DC" w:rsidRDefault="008F4348" w:rsidP="008F4348">
            <w:pPr>
              <w:pStyle w:val="TableParagraph"/>
              <w:spacing w:line="210" w:lineRule="exact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7DC">
              <w:rPr>
                <w:rFonts w:ascii="Times New Roman" w:hAnsi="Times New Roman" w:cs="Times New Roman"/>
                <w:sz w:val="20"/>
                <w:szCs w:val="20"/>
              </w:rPr>
              <w:t>Mi</w:t>
            </w:r>
            <w:r w:rsidR="00CB2712">
              <w:rPr>
                <w:rFonts w:ascii="Times New Roman" w:hAnsi="Times New Roman" w:cs="Times New Roman"/>
                <w:sz w:val="20"/>
                <w:szCs w:val="20"/>
              </w:rPr>
              <w:t>d-</w:t>
            </w:r>
            <w:r w:rsidRPr="00C577DC">
              <w:rPr>
                <w:rFonts w:ascii="Times New Roman" w:hAnsi="Times New Roman" w:cs="Times New Roman"/>
                <w:sz w:val="20"/>
                <w:szCs w:val="20"/>
              </w:rPr>
              <w:t>term Exam</w:t>
            </w:r>
          </w:p>
        </w:tc>
      </w:tr>
      <w:tr w:rsidR="008F4348" w:rsidRPr="00C577DC" w:rsidTr="0057332E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8F4348" w:rsidRPr="00C577DC" w:rsidRDefault="008F4348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6" w:type="dxa"/>
            <w:shd w:val="clear" w:color="auto" w:fill="auto"/>
            <w:noWrap/>
            <w:vAlign w:val="center"/>
          </w:tcPr>
          <w:p w:rsidR="008F4348" w:rsidRPr="00C577DC" w:rsidRDefault="008F43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5744" w:type="dxa"/>
            <w:shd w:val="clear" w:color="auto" w:fill="auto"/>
          </w:tcPr>
          <w:p w:rsidR="008F4348" w:rsidRPr="00C577DC" w:rsidRDefault="008F4348" w:rsidP="009424EC">
            <w:pPr>
              <w:pStyle w:val="TableParagraph"/>
              <w:spacing w:line="210" w:lineRule="exact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7DC">
              <w:rPr>
                <w:rFonts w:ascii="Times New Roman" w:hAnsi="Times New Roman" w:cs="Times New Roman"/>
                <w:sz w:val="20"/>
                <w:szCs w:val="20"/>
              </w:rPr>
              <w:t>Principles in central and local administration</w:t>
            </w:r>
          </w:p>
        </w:tc>
      </w:tr>
      <w:tr w:rsidR="008F4348" w:rsidRPr="00C577DC" w:rsidTr="0057332E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8F4348" w:rsidRPr="00C577DC" w:rsidRDefault="008F4348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6" w:type="dxa"/>
            <w:shd w:val="clear" w:color="auto" w:fill="auto"/>
            <w:noWrap/>
            <w:vAlign w:val="center"/>
          </w:tcPr>
          <w:p w:rsidR="008F4348" w:rsidRPr="00C577DC" w:rsidRDefault="008F43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5744" w:type="dxa"/>
            <w:shd w:val="clear" w:color="auto" w:fill="auto"/>
          </w:tcPr>
          <w:p w:rsidR="008F4348" w:rsidRPr="00C577DC" w:rsidRDefault="008F4348" w:rsidP="009424EC">
            <w:pPr>
              <w:pStyle w:val="TableParagraph"/>
              <w:spacing w:line="210" w:lineRule="exact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7DC">
              <w:rPr>
                <w:rFonts w:ascii="Times New Roman" w:hAnsi="Times New Roman" w:cs="Times New Roman"/>
                <w:sz w:val="20"/>
                <w:szCs w:val="20"/>
              </w:rPr>
              <w:t>Central organization of general organization</w:t>
            </w:r>
          </w:p>
        </w:tc>
      </w:tr>
      <w:tr w:rsidR="008F4348" w:rsidRPr="00C577DC" w:rsidTr="0057332E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8F4348" w:rsidRPr="00C577DC" w:rsidRDefault="008F4348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6" w:type="dxa"/>
            <w:shd w:val="clear" w:color="auto" w:fill="auto"/>
            <w:noWrap/>
            <w:vAlign w:val="center"/>
          </w:tcPr>
          <w:p w:rsidR="008F4348" w:rsidRPr="00C577DC" w:rsidRDefault="008F43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5744" w:type="dxa"/>
            <w:shd w:val="clear" w:color="auto" w:fill="auto"/>
          </w:tcPr>
          <w:p w:rsidR="008F4348" w:rsidRPr="00C577DC" w:rsidRDefault="008F4348" w:rsidP="009424EC">
            <w:pPr>
              <w:pStyle w:val="TableParagraph"/>
              <w:spacing w:line="210" w:lineRule="exact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7DC">
              <w:rPr>
                <w:rFonts w:ascii="Times New Roman" w:hAnsi="Times New Roman" w:cs="Times New Roman"/>
                <w:sz w:val="20"/>
                <w:szCs w:val="20"/>
              </w:rPr>
              <w:t>President, Ministers, the council of ministers</w:t>
            </w:r>
          </w:p>
        </w:tc>
      </w:tr>
      <w:tr w:rsidR="008F4348" w:rsidRPr="00C577DC" w:rsidTr="0057332E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8F4348" w:rsidRPr="00C577DC" w:rsidRDefault="008F4348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6" w:type="dxa"/>
            <w:shd w:val="clear" w:color="auto" w:fill="auto"/>
            <w:noWrap/>
            <w:vAlign w:val="center"/>
          </w:tcPr>
          <w:p w:rsidR="008F4348" w:rsidRPr="00C577DC" w:rsidRDefault="008F43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5744" w:type="dxa"/>
            <w:shd w:val="clear" w:color="auto" w:fill="auto"/>
          </w:tcPr>
          <w:p w:rsidR="008F4348" w:rsidRPr="00C577DC" w:rsidRDefault="008F4348" w:rsidP="009424EC">
            <w:pPr>
              <w:pStyle w:val="TableParagraph"/>
              <w:spacing w:line="210" w:lineRule="exact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7DC">
              <w:rPr>
                <w:rFonts w:ascii="Times New Roman" w:hAnsi="Times New Roman" w:cs="Times New Roman"/>
                <w:sz w:val="20"/>
                <w:szCs w:val="20"/>
              </w:rPr>
              <w:t>Provincial organization of general administration</w:t>
            </w:r>
          </w:p>
        </w:tc>
      </w:tr>
      <w:tr w:rsidR="008F4348" w:rsidRPr="00C577DC" w:rsidTr="0057332E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8F4348" w:rsidRPr="00C577DC" w:rsidRDefault="008F4348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6" w:type="dxa"/>
            <w:shd w:val="clear" w:color="auto" w:fill="auto"/>
            <w:noWrap/>
            <w:vAlign w:val="center"/>
          </w:tcPr>
          <w:p w:rsidR="008F4348" w:rsidRPr="00C577DC" w:rsidRDefault="008F43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5744" w:type="dxa"/>
            <w:shd w:val="clear" w:color="auto" w:fill="auto"/>
          </w:tcPr>
          <w:p w:rsidR="008F4348" w:rsidRPr="00C577DC" w:rsidRDefault="008F4348" w:rsidP="009424EC">
            <w:pPr>
              <w:pStyle w:val="TableParagraph"/>
              <w:spacing w:line="210" w:lineRule="exact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7DC">
              <w:rPr>
                <w:rFonts w:ascii="Times New Roman" w:hAnsi="Times New Roman" w:cs="Times New Roman"/>
                <w:sz w:val="20"/>
                <w:szCs w:val="20"/>
              </w:rPr>
              <w:t>Local authorities</w:t>
            </w:r>
          </w:p>
        </w:tc>
      </w:tr>
      <w:tr w:rsidR="008F4348" w:rsidRPr="00C577DC" w:rsidTr="0057332E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8F4348" w:rsidRPr="00C577DC" w:rsidRDefault="008F4348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6" w:type="dxa"/>
            <w:shd w:val="clear" w:color="auto" w:fill="auto"/>
            <w:noWrap/>
            <w:vAlign w:val="center"/>
          </w:tcPr>
          <w:p w:rsidR="008F4348" w:rsidRPr="00C577DC" w:rsidRDefault="008F43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5744" w:type="dxa"/>
            <w:shd w:val="clear" w:color="auto" w:fill="auto"/>
          </w:tcPr>
          <w:p w:rsidR="008F4348" w:rsidRPr="00C577DC" w:rsidRDefault="008F4348" w:rsidP="009424EC">
            <w:pPr>
              <w:pStyle w:val="TableParagraph"/>
              <w:spacing w:line="210" w:lineRule="exact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7DC">
              <w:rPr>
                <w:rFonts w:ascii="Times New Roman" w:hAnsi="Times New Roman" w:cs="Times New Roman"/>
                <w:sz w:val="20"/>
                <w:szCs w:val="20"/>
              </w:rPr>
              <w:t>Civic public services in provinces, municipalities</w:t>
            </w:r>
          </w:p>
        </w:tc>
      </w:tr>
      <w:tr w:rsidR="008F4348" w:rsidRPr="00C577DC" w:rsidTr="0057332E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8F4348" w:rsidRPr="00C577DC" w:rsidRDefault="008F4348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6" w:type="dxa"/>
            <w:shd w:val="clear" w:color="auto" w:fill="auto"/>
            <w:noWrap/>
            <w:vAlign w:val="center"/>
          </w:tcPr>
          <w:p w:rsidR="008F4348" w:rsidRPr="00C577DC" w:rsidRDefault="008F43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5744" w:type="dxa"/>
            <w:shd w:val="clear" w:color="auto" w:fill="auto"/>
          </w:tcPr>
          <w:p w:rsidR="008F4348" w:rsidRPr="00C577DC" w:rsidRDefault="008F4348" w:rsidP="009424EC">
            <w:pPr>
              <w:pStyle w:val="TableParagraph"/>
              <w:spacing w:line="209" w:lineRule="exact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7DC">
              <w:rPr>
                <w:rFonts w:ascii="Times New Roman" w:hAnsi="Times New Roman" w:cs="Times New Roman"/>
                <w:sz w:val="20"/>
                <w:szCs w:val="20"/>
              </w:rPr>
              <w:t>Autonomy services in provinces</w:t>
            </w:r>
          </w:p>
        </w:tc>
      </w:tr>
      <w:tr w:rsidR="008F4348" w:rsidRPr="00C577DC" w:rsidTr="0057332E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8F4348" w:rsidRPr="00C577DC" w:rsidRDefault="008F4348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6" w:type="dxa"/>
            <w:shd w:val="clear" w:color="auto" w:fill="auto"/>
            <w:noWrap/>
            <w:vAlign w:val="center"/>
          </w:tcPr>
          <w:p w:rsidR="008F4348" w:rsidRPr="00C577DC" w:rsidRDefault="008F43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5744" w:type="dxa"/>
            <w:shd w:val="clear" w:color="auto" w:fill="auto"/>
          </w:tcPr>
          <w:p w:rsidR="008F4348" w:rsidRPr="00C577DC" w:rsidRDefault="008F4348" w:rsidP="009424EC">
            <w:pPr>
              <w:pStyle w:val="TableParagraph"/>
              <w:spacing w:line="211" w:lineRule="exact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7DC">
              <w:rPr>
                <w:rFonts w:ascii="Times New Roman" w:hAnsi="Times New Roman" w:cs="Times New Roman"/>
                <w:sz w:val="20"/>
                <w:szCs w:val="20"/>
              </w:rPr>
              <w:t>Evaluation</w:t>
            </w:r>
          </w:p>
        </w:tc>
      </w:tr>
      <w:tr w:rsidR="006255AF" w:rsidRPr="00C577DC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gridSpan w:val="2"/>
            <w:shd w:val="clear" w:color="auto" w:fill="auto"/>
            <w:noWrap/>
            <w:vAlign w:val="center"/>
          </w:tcPr>
          <w:p w:rsidR="006255AF" w:rsidRPr="00C577D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577D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Weekly applied course hours</w:t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577D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577D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577D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Designing and implementing materials</w:t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577D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Report preparing</w:t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577D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Preparing a Presentation</w:t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577D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Presentations</w:t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577D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577D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="009C4347" w:rsidRPr="00C577DC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6255AF" w:rsidRPr="00C577DC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gridSpan w:val="2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C577DC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C577D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577DC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577DC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7408EE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C577DC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6255AF" w:rsidRPr="00C577D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577D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sz w:val="20"/>
                      <w:szCs w:val="20"/>
                      <w:lang w:val="en-US"/>
                    </w:rPr>
                    <w:lastRenderedPageBreak/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577D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577DC" w:rsidRDefault="00A24C0B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6255AF" w:rsidRPr="00C577DC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6255AF" w:rsidRPr="00C577DC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C577D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577D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577D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577D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577D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577D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577D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577D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577D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577D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577D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577D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577D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577D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577D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577D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577D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577D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577D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577D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577D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577DC" w:rsidRDefault="009C4347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577DC" w:rsidRDefault="009C4347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C577DC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C577D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577D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577DC" w:rsidRDefault="00A24C0B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6255AF" w:rsidRPr="00C577DC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6255AF" w:rsidRPr="00C577DC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C577D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577D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577D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6255AF" w:rsidRPr="00C577D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C577DC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gridSpan w:val="2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C577DC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577DC" w:rsidRDefault="006255AF" w:rsidP="00957AD8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C577DC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BD2065" w:rsidRPr="00C577DC" w:rsidTr="00EE5FC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42</w:t>
                  </w:r>
                </w:p>
              </w:tc>
            </w:tr>
            <w:tr w:rsidR="00BD2065" w:rsidRPr="00C577DC" w:rsidTr="00EE5FC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BD2065" w:rsidRPr="00C577DC" w:rsidTr="00EE5FC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2132A7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2132A7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56</w:t>
                  </w:r>
                </w:p>
              </w:tc>
            </w:tr>
            <w:tr w:rsidR="00BD2065" w:rsidRPr="00C577DC" w:rsidTr="00EE5FC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</w:tr>
            <w:tr w:rsidR="00BD2065" w:rsidRPr="00C577DC" w:rsidTr="00EE5FC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BD2065" w:rsidRPr="00C577DC" w:rsidTr="00EE5FC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BD2065" w:rsidRPr="00C577DC" w:rsidTr="00EE5FC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BD2065" w:rsidRPr="00C577DC" w:rsidTr="00EE5FC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BD2065" w:rsidRPr="00C577DC" w:rsidTr="00EE5FC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7408EE"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</w:tr>
            <w:tr w:rsidR="00BD2065" w:rsidRPr="00C577DC" w:rsidTr="00EE5FC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7408EE"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</w:tr>
            <w:tr w:rsidR="00BD2065" w:rsidRPr="00C577DC" w:rsidTr="00EE5FC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C577DC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BD2065" w:rsidRPr="00C577DC" w:rsidTr="00EE5FC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957AD8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146</w:t>
                  </w:r>
                  <w:bookmarkStart w:id="0" w:name="_GoBack"/>
                  <w:bookmarkEnd w:id="0"/>
                </w:p>
              </w:tc>
            </w:tr>
            <w:tr w:rsidR="00BD2065" w:rsidRPr="00C577DC" w:rsidTr="00EE5FC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2132A7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5,84</w:t>
                  </w:r>
                </w:p>
              </w:tc>
            </w:tr>
            <w:tr w:rsidR="00BD2065" w:rsidRPr="00C577DC" w:rsidTr="00EE5FC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D2065" w:rsidRPr="00C577DC" w:rsidRDefault="00BD2065" w:rsidP="00957AD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D2065" w:rsidRPr="00C577DC" w:rsidRDefault="002132A7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</w:tbl>
          <w:p w:rsidR="006255AF" w:rsidRPr="00C577DC" w:rsidRDefault="006255AF" w:rsidP="00F8150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255AF" w:rsidRPr="00C577DC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577DC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C577DC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gridSpan w:val="2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6255AF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6255AF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6255AF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577DC" w:rsidRDefault="006255AF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93AF3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93AF3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93AF3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93AF3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93AF3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93AF3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93AF3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93AF3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93AF3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93AF3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93AF3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93AF3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lastRenderedPageBreak/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93AF3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93AF3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93AF3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93AF3" w:rsidRPr="00C577DC" w:rsidTr="00393AF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577D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93AF3" w:rsidRPr="00C577DC" w:rsidRDefault="00393AF3" w:rsidP="00957AD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6255AF" w:rsidRPr="00C577D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C577DC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577D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C577DC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gridSpan w:val="2"/>
            <w:shd w:val="clear" w:color="auto" w:fill="auto"/>
            <w:vAlign w:val="center"/>
            <w:hideMark/>
          </w:tcPr>
          <w:p w:rsidR="006255AF" w:rsidRPr="00C577DC" w:rsidRDefault="0099680E" w:rsidP="00393AF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Dr. </w:t>
            </w:r>
            <w:r w:rsidR="00393AF3" w:rsidRPr="00C577DC">
              <w:rPr>
                <w:color w:val="000000"/>
                <w:sz w:val="20"/>
                <w:szCs w:val="20"/>
                <w:lang w:val="en-US"/>
              </w:rPr>
              <w:t>Murat KALFA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                           </w:t>
            </w:r>
            <w:r w:rsidR="00393AF3" w:rsidRPr="00C577DC">
              <w:rPr>
                <w:color w:val="000000"/>
                <w:sz w:val="20"/>
                <w:szCs w:val="20"/>
                <w:lang w:val="en-US"/>
              </w:rPr>
              <w:t>mkalfa@gaziedu.tr</w:t>
            </w:r>
          </w:p>
        </w:tc>
      </w:tr>
    </w:tbl>
    <w:p w:rsidR="00996AF0" w:rsidRPr="00C577DC" w:rsidRDefault="00996AF0">
      <w:pPr>
        <w:rPr>
          <w:sz w:val="20"/>
          <w:szCs w:val="20"/>
          <w:lang w:val="en-US"/>
        </w:rPr>
      </w:pPr>
    </w:p>
    <w:sectPr w:rsidR="00996AF0" w:rsidRPr="00C577DC" w:rsidSect="00E62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16F3"/>
    <w:rsid w:val="00072C5D"/>
    <w:rsid w:val="002132A7"/>
    <w:rsid w:val="0033474B"/>
    <w:rsid w:val="00393AF3"/>
    <w:rsid w:val="004013A3"/>
    <w:rsid w:val="006255AF"/>
    <w:rsid w:val="007408EE"/>
    <w:rsid w:val="008F4348"/>
    <w:rsid w:val="00957AD8"/>
    <w:rsid w:val="0099680E"/>
    <w:rsid w:val="00996AF0"/>
    <w:rsid w:val="009C4347"/>
    <w:rsid w:val="009F46A7"/>
    <w:rsid w:val="00A14429"/>
    <w:rsid w:val="00A24C0B"/>
    <w:rsid w:val="00A85517"/>
    <w:rsid w:val="00AB337F"/>
    <w:rsid w:val="00B0298B"/>
    <w:rsid w:val="00B816F3"/>
    <w:rsid w:val="00BD2065"/>
    <w:rsid w:val="00C121BB"/>
    <w:rsid w:val="00C577DC"/>
    <w:rsid w:val="00CB2712"/>
    <w:rsid w:val="00D4797D"/>
    <w:rsid w:val="00E6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8F434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21</cp:revision>
  <dcterms:created xsi:type="dcterms:W3CDTF">2018-12-13T20:07:00Z</dcterms:created>
  <dcterms:modified xsi:type="dcterms:W3CDTF">2019-10-03T10:45:00Z</dcterms:modified>
</cp:coreProperties>
</file>