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CC183E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C183E" w:rsidRDefault="00986CD6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lang w:val="en-US"/>
              </w:rPr>
              <w:t>COURSE DESCRIPTION FORM</w:t>
            </w:r>
          </w:p>
        </w:tc>
      </w:tr>
      <w:tr w:rsidR="006255AF" w:rsidRPr="00CC183E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B715CF" w:rsidP="00E35103">
            <w:pPr>
              <w:pStyle w:val="Balk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A06B5D" w:rsidRPr="00CC183E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35103">
              <w:rPr>
                <w:rFonts w:cs="Times New Roman"/>
                <w:b/>
                <w:sz w:val="20"/>
                <w:szCs w:val="20"/>
              </w:rPr>
              <w:t>328</w:t>
            </w:r>
            <w:bookmarkStart w:id="0" w:name="_GoBack"/>
            <w:bookmarkEnd w:id="0"/>
            <w:r w:rsidR="00986CD6" w:rsidRPr="00CC183E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986CD6" w:rsidRPr="00CC183E">
              <w:rPr>
                <w:rFonts w:cs="Times New Roman"/>
                <w:b/>
                <w:color w:val="000000"/>
                <w:sz w:val="20"/>
                <w:szCs w:val="20"/>
              </w:rPr>
              <w:t>GLOBAL</w:t>
            </w:r>
            <w:r w:rsidR="00986CD6">
              <w:rPr>
                <w:rFonts w:cs="Times New Roman"/>
                <w:b/>
                <w:color w:val="000000"/>
                <w:sz w:val="20"/>
                <w:szCs w:val="20"/>
              </w:rPr>
              <w:t>I</w:t>
            </w:r>
            <w:r w:rsidR="00986CD6" w:rsidRPr="00CC183E">
              <w:rPr>
                <w:rFonts w:cs="Times New Roman"/>
                <w:b/>
                <w:color w:val="000000"/>
                <w:sz w:val="20"/>
                <w:szCs w:val="20"/>
              </w:rPr>
              <w:t>ZAT</w:t>
            </w:r>
            <w:r w:rsidR="00986CD6">
              <w:rPr>
                <w:rFonts w:cs="Times New Roman"/>
                <w:b/>
                <w:color w:val="000000"/>
                <w:sz w:val="20"/>
                <w:szCs w:val="20"/>
              </w:rPr>
              <w:t>I</w:t>
            </w:r>
            <w:r w:rsidR="00986CD6" w:rsidRPr="00CC183E">
              <w:rPr>
                <w:rFonts w:cs="Times New Roman"/>
                <w:b/>
                <w:color w:val="000000"/>
                <w:sz w:val="20"/>
                <w:szCs w:val="20"/>
              </w:rPr>
              <w:t>ON</w:t>
            </w:r>
            <w:r w:rsidR="00986CD6" w:rsidRPr="00CC183E">
              <w:rPr>
                <w:rFonts w:cs="Times New Roman"/>
                <w:b/>
                <w:sz w:val="20"/>
                <w:szCs w:val="20"/>
              </w:rPr>
              <w:t xml:space="preserve"> AND SPORT</w:t>
            </w:r>
          </w:p>
        </w:tc>
      </w:tr>
      <w:tr w:rsidR="006255AF" w:rsidRPr="00CC183E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88236D" w:rsidP="00F81503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>Fall</w:t>
            </w:r>
            <w:r w:rsidR="00986CD6">
              <w:rPr>
                <w:color w:val="000000"/>
                <w:sz w:val="20"/>
                <w:szCs w:val="20"/>
              </w:rPr>
              <w:t>-</w:t>
            </w:r>
            <w:r w:rsidRPr="00CC183E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CC183E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3865FD">
            <w:pPr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Catalog</w:t>
            </w:r>
            <w:proofErr w:type="spellEnd"/>
            <w:r w:rsidRPr="00CC183E">
              <w:rPr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3865FD" w:rsidP="00BF59C7">
            <w:pPr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Theories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concept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development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</w:t>
            </w:r>
            <w:r w:rsidR="00BF59C7" w:rsidRPr="00CC183E">
              <w:rPr>
                <w:sz w:val="20"/>
                <w:szCs w:val="20"/>
              </w:rPr>
              <w:t>z</w:t>
            </w:r>
            <w:r w:rsidRPr="00CC183E">
              <w:rPr>
                <w:sz w:val="20"/>
                <w:szCs w:val="20"/>
              </w:rPr>
              <w:t>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dimensions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relations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economy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C183E">
              <w:rPr>
                <w:sz w:val="20"/>
                <w:szCs w:val="20"/>
              </w:rPr>
              <w:t>globalisation,sport</w:t>
            </w:r>
            <w:proofErr w:type="spellEnd"/>
            <w:proofErr w:type="gram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politics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management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media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technologies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sz w:val="20"/>
                <w:szCs w:val="20"/>
              </w:rPr>
              <w:t>immigrant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athletes</w:t>
            </w:r>
            <w:proofErr w:type="spellEnd"/>
          </w:p>
        </w:tc>
      </w:tr>
      <w:tr w:rsidR="006255AF" w:rsidRPr="00CC183E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3865FD" w:rsidP="00500E5D">
            <w:pPr>
              <w:rPr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>Rahşan İnal, 2008, Küreselleşme ve Spor (Küreselleşmenin Spora Etkileri), Evrensel Basım Yayın</w:t>
            </w:r>
          </w:p>
        </w:tc>
      </w:tr>
      <w:tr w:rsidR="006255AF" w:rsidRPr="00CC183E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865FD" w:rsidRPr="00CC183E" w:rsidRDefault="003865FD" w:rsidP="003865FD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Grant </w:t>
            </w:r>
            <w:proofErr w:type="spellStart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Jarvie</w:t>
            </w:r>
            <w:proofErr w:type="spellEnd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2006, Sport, culture and society: an introduction, Routledge</w:t>
            </w:r>
          </w:p>
          <w:p w:rsidR="003865FD" w:rsidRPr="00CC183E" w:rsidRDefault="003865FD" w:rsidP="003865FD">
            <w:pPr>
              <w:pStyle w:val="TableParagraph"/>
              <w:ind w:right="83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Alan </w:t>
            </w:r>
            <w:proofErr w:type="spellStart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Bairner</w:t>
            </w:r>
            <w:proofErr w:type="spellEnd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2001, Sport, Nationalism, and Globalization-European and North American Perspectives, </w:t>
            </w:r>
            <w:proofErr w:type="spellStart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Suny</w:t>
            </w:r>
            <w:proofErr w:type="spellEnd"/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Series</w:t>
            </w:r>
          </w:p>
          <w:p w:rsidR="006255AF" w:rsidRPr="00CC183E" w:rsidRDefault="003865FD" w:rsidP="003865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Maguire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J. 1999. Global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Identities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societies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civilizations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Polity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C183E">
              <w:rPr>
                <w:color w:val="000000"/>
                <w:sz w:val="20"/>
                <w:szCs w:val="20"/>
              </w:rPr>
              <w:t>Press:Cambridge</w:t>
            </w:r>
            <w:proofErr w:type="spellEnd"/>
            <w:proofErr w:type="gramEnd"/>
            <w:r w:rsidRPr="00CC183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Maguire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J. 2005.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Power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Global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Zones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Prestige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Emulation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Resistance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Routledge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London</w:t>
            </w:r>
            <w:proofErr w:type="spellEnd"/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CC183E" w:rsidRDefault="007B3102" w:rsidP="00F81503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CC183E" w:rsidTr="008A6878">
        <w:trPr>
          <w:trHeight w:val="48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8A6878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3865FD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3865FD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CC183E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3865FD" w:rsidP="00576FE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Teaching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the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fundemental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relations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between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: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widening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the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perspective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management</w:t>
            </w:r>
            <w:proofErr w:type="spellEnd"/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865FD" w:rsidRPr="00CC183E" w:rsidRDefault="00BF59C7" w:rsidP="003865FD">
            <w:pPr>
              <w:pStyle w:val="TableParagraph"/>
              <w:ind w:left="124" w:right="9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Learns the fundamentals of globalization</w:t>
            </w:r>
            <w:r w:rsidR="003865FD"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3865FD" w:rsidRPr="00CC183E" w:rsidRDefault="003865FD" w:rsidP="003865FD">
            <w:pPr>
              <w:pStyle w:val="TableParagraph"/>
              <w:ind w:left="124" w:right="9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="00BF59C7"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understands and evaluate different aspects of sport and globalization relations</w:t>
            </w: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865FD" w:rsidRPr="00CC183E" w:rsidRDefault="003865FD" w:rsidP="003865FD">
            <w:pPr>
              <w:pStyle w:val="TableParagraph"/>
              <w:ind w:left="124" w:right="9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="00BF59C7"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analyses the outcomes of sport management in globalization</w:t>
            </w:r>
          </w:p>
          <w:p w:rsidR="003865FD" w:rsidRPr="00CC183E" w:rsidRDefault="003865FD" w:rsidP="003865FD">
            <w:pPr>
              <w:pStyle w:val="TableParagraph"/>
              <w:ind w:left="124" w:right="9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="00BF59C7" w:rsidRPr="00CC1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learns the positive and negative effects of globalization over sport</w:t>
            </w:r>
          </w:p>
          <w:p w:rsidR="006255AF" w:rsidRPr="00CC183E" w:rsidRDefault="003865FD" w:rsidP="00BF59C7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interprets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how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manager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should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take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stance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changing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F59C7" w:rsidRPr="00CC183E">
              <w:rPr>
                <w:color w:val="000000"/>
                <w:sz w:val="20"/>
                <w:szCs w:val="20"/>
              </w:rPr>
              <w:t>global</w:t>
            </w:r>
            <w:proofErr w:type="gram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eonomy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poltics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BF59C7"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9C7" w:rsidRPr="00CC183E">
              <w:rPr>
                <w:color w:val="000000"/>
                <w:sz w:val="20"/>
                <w:szCs w:val="20"/>
              </w:rPr>
              <w:t>sociology</w:t>
            </w:r>
            <w:proofErr w:type="spellEnd"/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576FE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Face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face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–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CC183E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76FE4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Theories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concept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r w:rsidRPr="00CC183E">
              <w:rPr>
                <w:sz w:val="20"/>
                <w:szCs w:val="20"/>
              </w:rPr>
              <w:t xml:space="preserve">Development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Dimensions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Relations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economy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politics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management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1031B3" w:rsidRPr="001031B3" w:rsidRDefault="001031B3" w:rsidP="001031B3">
            <w:pPr>
              <w:pStyle w:val="ListeParagraf"/>
              <w:numPr>
                <w:ilvl w:val="0"/>
                <w:numId w:val="4"/>
              </w:numPr>
              <w:ind w:left="583"/>
              <w:rPr>
                <w:bCs/>
                <w:sz w:val="20"/>
                <w:szCs w:val="20"/>
              </w:rPr>
            </w:pPr>
            <w:proofErr w:type="spellStart"/>
            <w:r w:rsidRPr="00986CD6">
              <w:rPr>
                <w:bCs/>
                <w:sz w:val="20"/>
                <w:szCs w:val="20"/>
              </w:rPr>
              <w:t>Midterm</w:t>
            </w:r>
            <w:proofErr w:type="spellEnd"/>
            <w:r w:rsidRPr="00986C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86CD6">
              <w:rPr>
                <w:bCs/>
                <w:sz w:val="20"/>
                <w:szCs w:val="20"/>
              </w:rPr>
              <w:t>exam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media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technologies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r w:rsidRPr="00CC183E">
              <w:rPr>
                <w:sz w:val="20"/>
                <w:szCs w:val="20"/>
              </w:rPr>
              <w:t xml:space="preserve">Sports </w:t>
            </w:r>
            <w:proofErr w:type="spellStart"/>
            <w:r w:rsidRPr="00CC183E">
              <w:rPr>
                <w:sz w:val="20"/>
                <w:szCs w:val="20"/>
              </w:rPr>
              <w:t>law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culture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Immigrations</w:t>
            </w:r>
            <w:proofErr w:type="spellEnd"/>
            <w:r w:rsidRPr="00CC183E">
              <w:rPr>
                <w:sz w:val="20"/>
                <w:szCs w:val="20"/>
              </w:rPr>
              <w:t xml:space="preserve"> in </w:t>
            </w:r>
            <w:proofErr w:type="spellStart"/>
            <w:r w:rsidRPr="00CC183E">
              <w:rPr>
                <w:sz w:val="20"/>
                <w:szCs w:val="20"/>
              </w:rPr>
              <w:t>sports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sz w:val="20"/>
                <w:szCs w:val="20"/>
              </w:rPr>
            </w:pPr>
            <w:proofErr w:type="spellStart"/>
            <w:r w:rsidRPr="00CC183E">
              <w:rPr>
                <w:sz w:val="20"/>
                <w:szCs w:val="20"/>
              </w:rPr>
              <w:t>Evaluating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the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positive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and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negative</w:t>
            </w:r>
            <w:proofErr w:type="spellEnd"/>
            <w:r w:rsidRPr="00CC183E">
              <w:rPr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sz w:val="20"/>
                <w:szCs w:val="20"/>
              </w:rPr>
              <w:t>effects</w:t>
            </w:r>
            <w:proofErr w:type="spellEnd"/>
            <w:r w:rsidRPr="00CC183E">
              <w:rPr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sz w:val="20"/>
                <w:szCs w:val="20"/>
              </w:rPr>
              <w:t>globalisation</w:t>
            </w:r>
            <w:proofErr w:type="spellEnd"/>
            <w:r w:rsidRPr="00CC183E">
              <w:rPr>
                <w:sz w:val="20"/>
                <w:szCs w:val="20"/>
              </w:rPr>
              <w:t xml:space="preserve"> on </w:t>
            </w:r>
            <w:proofErr w:type="spellStart"/>
            <w:r w:rsidRPr="00CC183E">
              <w:rPr>
                <w:sz w:val="20"/>
                <w:szCs w:val="20"/>
              </w:rPr>
              <w:t>sport</w:t>
            </w:r>
            <w:proofErr w:type="spellEnd"/>
          </w:p>
          <w:p w:rsidR="00BF59C7" w:rsidRPr="00CC183E" w:rsidRDefault="00BF59C7" w:rsidP="00BF59C7">
            <w:pPr>
              <w:pStyle w:val="ListeParagraf"/>
              <w:numPr>
                <w:ilvl w:val="0"/>
                <w:numId w:val="4"/>
              </w:numPr>
              <w:ind w:left="583"/>
              <w:rPr>
                <w:color w:val="000000"/>
                <w:sz w:val="20"/>
                <w:szCs w:val="20"/>
              </w:rPr>
            </w:pPr>
            <w:r w:rsidRPr="00CC183E">
              <w:rPr>
                <w:sz w:val="20"/>
                <w:szCs w:val="20"/>
              </w:rPr>
              <w:t xml:space="preserve">Course </w:t>
            </w:r>
            <w:proofErr w:type="spellStart"/>
            <w:r w:rsidRPr="00CC183E">
              <w:rPr>
                <w:sz w:val="20"/>
                <w:szCs w:val="20"/>
              </w:rPr>
              <w:t>review</w:t>
            </w:r>
            <w:proofErr w:type="spellEnd"/>
          </w:p>
        </w:tc>
      </w:tr>
      <w:tr w:rsidR="006255AF" w:rsidRPr="00CC183E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7B3102" w:rsidRPr="00CC183E">
              <w:rPr>
                <w:color w:val="000000"/>
                <w:sz w:val="20"/>
                <w:szCs w:val="20"/>
              </w:rPr>
              <w:tab/>
            </w:r>
            <w:r w:rsidR="007B3102" w:rsidRPr="00CC183E">
              <w:rPr>
                <w:color w:val="000000"/>
                <w:sz w:val="20"/>
                <w:szCs w:val="20"/>
              </w:rPr>
              <w:tab/>
            </w:r>
          </w:p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ab/>
            </w:r>
            <w:r w:rsidRPr="00CC183E">
              <w:rPr>
                <w:color w:val="000000"/>
                <w:sz w:val="20"/>
                <w:szCs w:val="20"/>
              </w:rPr>
              <w:tab/>
            </w:r>
            <w:r w:rsidRPr="00CC183E">
              <w:rPr>
                <w:color w:val="000000"/>
                <w:sz w:val="20"/>
                <w:szCs w:val="20"/>
              </w:rPr>
              <w:tab/>
            </w:r>
          </w:p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work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ab/>
            </w:r>
            <w:r w:rsidRPr="00CC183E">
              <w:rPr>
                <w:color w:val="000000"/>
                <w:sz w:val="20"/>
                <w:szCs w:val="20"/>
              </w:rPr>
              <w:tab/>
            </w:r>
          </w:p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ab/>
            </w:r>
          </w:p>
          <w:p w:rsidR="006255AF" w:rsidRPr="00CC183E" w:rsidRDefault="006255AF" w:rsidP="007B3102">
            <w:pPr>
              <w:rPr>
                <w:color w:val="000000"/>
                <w:sz w:val="20"/>
                <w:szCs w:val="20"/>
              </w:rPr>
            </w:pPr>
            <w:r w:rsidRPr="00CC183E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CC183E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CC183E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CC183E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lastRenderedPageBreak/>
              <w:t>Assessment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CC183E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C183E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C183E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C183E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C183E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2E58D9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CC183E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</w:tr>
            <w:tr w:rsidR="00BF59C7" w:rsidRPr="00CC183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F59C7" w:rsidRPr="00CC183E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88236D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88236D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</w:tr>
            <w:tr w:rsidR="00BF59C7" w:rsidRPr="00CC183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BF59C7" w:rsidRPr="00CC183E" w:rsidRDefault="00BF59C7" w:rsidP="00BF59C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CC183E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F59C7" w:rsidRPr="00CC183E" w:rsidRDefault="00BF59C7" w:rsidP="00BF59C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CC183E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C183E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C183E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C183E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CC183E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C183E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C183E" w:rsidRDefault="006255AF" w:rsidP="00E3510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C183E" w:rsidRDefault="006255AF" w:rsidP="00E3510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C183E" w:rsidRDefault="006255AF" w:rsidP="00E35103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C183E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C183E" w:rsidRDefault="006255AF" w:rsidP="00E3510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2E58D9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CC183E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2E58D9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CC183E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73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7B3102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>2,92</w:t>
                  </w:r>
                </w:p>
              </w:tc>
            </w:tr>
            <w:tr w:rsidR="00BF59C7" w:rsidRPr="00CC183E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CC183E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CC183E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BF59C7" w:rsidP="00E35103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F59C7" w:rsidRPr="00CC183E" w:rsidRDefault="008A6878" w:rsidP="00E35103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CC183E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CC183E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C183E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CC183E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C42A8" w:rsidRPr="00CC183E" w:rsidTr="005B03D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C183E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C42A8" w:rsidRPr="00CC183E" w:rsidRDefault="00FC42A8" w:rsidP="00E35103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CC183E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CC183E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C183E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C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83E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576FE4" w:rsidRPr="002E58D9" w:rsidRDefault="002E58D9" w:rsidP="002E58D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Assoc</w:t>
            </w:r>
            <w:proofErr w:type="spellEnd"/>
            <w:r w:rsidR="00576FE4" w:rsidRPr="002E58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Prof. </w:t>
            </w:r>
            <w:r w:rsidR="00576FE4" w:rsidRPr="002E58D9">
              <w:rPr>
                <w:sz w:val="20"/>
                <w:szCs w:val="20"/>
              </w:rPr>
              <w:t>Dr. Esra ERTURAN ÖĞÜ</w:t>
            </w:r>
            <w:r>
              <w:rPr>
                <w:sz w:val="20"/>
                <w:szCs w:val="20"/>
              </w:rPr>
              <w:t xml:space="preserve">T        </w:t>
            </w:r>
            <w:hyperlink r:id="rId6" w:history="1">
              <w:r w:rsidRPr="00E55B22">
                <w:rPr>
                  <w:rStyle w:val="Kpr"/>
                  <w:sz w:val="20"/>
                  <w:szCs w:val="20"/>
                </w:rPr>
                <w:t>erturan@gazi.edu.tr</w:t>
              </w:r>
            </w:hyperlink>
          </w:p>
          <w:p w:rsidR="006255AF" w:rsidRPr="00CC183E" w:rsidRDefault="006255AF" w:rsidP="00BF59C7">
            <w:pPr>
              <w:pStyle w:val="ListeParagraf"/>
              <w:rPr>
                <w:color w:val="000000"/>
                <w:sz w:val="20"/>
                <w:szCs w:val="20"/>
              </w:rPr>
            </w:pPr>
          </w:p>
        </w:tc>
      </w:tr>
    </w:tbl>
    <w:p w:rsidR="00996AF0" w:rsidRPr="00CC183E" w:rsidRDefault="00996AF0">
      <w:pPr>
        <w:rPr>
          <w:sz w:val="20"/>
          <w:szCs w:val="20"/>
        </w:rPr>
      </w:pPr>
    </w:p>
    <w:sectPr w:rsidR="00996AF0" w:rsidRPr="00CC183E" w:rsidSect="00303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5DD"/>
    <w:multiLevelType w:val="hybridMultilevel"/>
    <w:tmpl w:val="AF783C2C"/>
    <w:lvl w:ilvl="0" w:tplc="041F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">
    <w:nsid w:val="0DC20CEA"/>
    <w:multiLevelType w:val="hybridMultilevel"/>
    <w:tmpl w:val="5068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41DC"/>
    <w:multiLevelType w:val="hybridMultilevel"/>
    <w:tmpl w:val="A3A810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1031B3"/>
    <w:rsid w:val="002E58D9"/>
    <w:rsid w:val="00303A62"/>
    <w:rsid w:val="003865FD"/>
    <w:rsid w:val="00500E5D"/>
    <w:rsid w:val="00576FE4"/>
    <w:rsid w:val="006255AF"/>
    <w:rsid w:val="007B3102"/>
    <w:rsid w:val="00807E37"/>
    <w:rsid w:val="0088236D"/>
    <w:rsid w:val="008A6878"/>
    <w:rsid w:val="00986CD6"/>
    <w:rsid w:val="00996AF0"/>
    <w:rsid w:val="00A06B5D"/>
    <w:rsid w:val="00B715CF"/>
    <w:rsid w:val="00B816F3"/>
    <w:rsid w:val="00BF59C7"/>
    <w:rsid w:val="00CC183E"/>
    <w:rsid w:val="00E35103"/>
    <w:rsid w:val="00FC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576FE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576F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E58D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E58D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turan@gazi.edu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16</cp:revision>
  <dcterms:created xsi:type="dcterms:W3CDTF">2018-12-16T11:54:00Z</dcterms:created>
  <dcterms:modified xsi:type="dcterms:W3CDTF">2019-10-01T10:21:00Z</dcterms:modified>
</cp:coreProperties>
</file>