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E1623E" w:rsidRPr="00D34C55" w:rsidTr="00765430">
        <w:trPr>
          <w:trHeight w:val="315"/>
        </w:trPr>
        <w:tc>
          <w:tcPr>
            <w:tcW w:w="10504" w:type="dxa"/>
            <w:gridSpan w:val="2"/>
            <w:shd w:val="clear" w:color="auto" w:fill="DEEAF6"/>
            <w:vAlign w:val="center"/>
            <w:hideMark/>
          </w:tcPr>
          <w:p w:rsidR="00E1623E" w:rsidRPr="00D34C55" w:rsidRDefault="009A7EC7" w:rsidP="0076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r-TR"/>
              </w:rPr>
              <w:t>COURSE DESCRIPTION FORM</w:t>
            </w:r>
          </w:p>
        </w:tc>
      </w:tr>
      <w:tr w:rsidR="00E1623E" w:rsidRPr="00D34C55" w:rsidTr="00706ACD">
        <w:trPr>
          <w:trHeight w:val="38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Code and Name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527A19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 xml:space="preserve">SYB </w:t>
            </w:r>
            <w:r w:rsidR="009A7EC7" w:rsidRPr="00D34C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tr-TR"/>
              </w:rPr>
              <w:t>401 VOCATIONAL ENGLISH -I-</w:t>
            </w:r>
          </w:p>
        </w:tc>
      </w:tr>
      <w:tr w:rsidR="00E1623E" w:rsidRPr="00D34C55" w:rsidTr="00706ACD">
        <w:trPr>
          <w:trHeight w:val="318"/>
        </w:trPr>
        <w:tc>
          <w:tcPr>
            <w:tcW w:w="4382" w:type="dxa"/>
            <w:shd w:val="clear" w:color="auto" w:fill="DEEAF6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Semester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527A19" w:rsidP="00527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7</w:t>
            </w:r>
            <w:r w:rsidR="00566B94"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th</w:t>
            </w:r>
            <w:r w:rsidR="00E1623E"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Semester</w:t>
            </w:r>
          </w:p>
        </w:tc>
      </w:tr>
      <w:tr w:rsidR="00E1623E" w:rsidRPr="00D34C55" w:rsidTr="0071094F">
        <w:trPr>
          <w:trHeight w:val="524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Catalog Content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71094F" w:rsidP="0071094F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Reading, understanding, speaking, </w:t>
            </w:r>
            <w:proofErr w:type="gram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writing</w:t>
            </w:r>
            <w:proofErr w:type="gram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and developing vocabulary knowledge related with sports management.</w:t>
            </w:r>
          </w:p>
        </w:tc>
      </w:tr>
      <w:tr w:rsidR="00E1623E" w:rsidRPr="00D34C55" w:rsidTr="00706ACD">
        <w:trPr>
          <w:trHeight w:val="31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Textbook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Hallmann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</w:t>
            </w:r>
            <w:proofErr w:type="gramStart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.,</w:t>
            </w:r>
            <w:proofErr w:type="gram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Petry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K. (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Eds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.). (2013). </w:t>
            </w:r>
            <w:proofErr w:type="spellStart"/>
            <w:r w:rsidRPr="00D34C55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Comparative</w:t>
            </w:r>
            <w:proofErr w:type="spellEnd"/>
            <w:r w:rsidRPr="00D34C55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D34C55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development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Heidelberg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Springer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1623E" w:rsidRPr="00D34C55" w:rsidTr="0071094F">
        <w:trPr>
          <w:trHeight w:val="36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Supplementary Textbooks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71094F" w:rsidP="00710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34C5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All kinds of books, articles and official correspondence related to the sport management.</w:t>
            </w:r>
          </w:p>
        </w:tc>
      </w:tr>
      <w:tr w:rsidR="00E1623E" w:rsidRPr="00D34C55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Credit 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p w:rsidR="00E1623E" w:rsidRPr="00D34C55" w:rsidRDefault="0071094F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  <w:t>4</w:t>
            </w:r>
          </w:p>
        </w:tc>
      </w:tr>
      <w:tr w:rsidR="00E1623E" w:rsidRPr="00D34C55" w:rsidTr="00706ACD">
        <w:trPr>
          <w:trHeight w:val="29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Prerequisites of the Course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(Attendance Requirements)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AB1FD8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E1623E" w:rsidRPr="00D34C55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Type of the Course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Compulsory </w:t>
            </w:r>
          </w:p>
        </w:tc>
      </w:tr>
      <w:tr w:rsidR="00E1623E" w:rsidRPr="00D34C55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Language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71094F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English </w:t>
            </w:r>
          </w:p>
        </w:tc>
      </w:tr>
      <w:tr w:rsidR="00E1623E" w:rsidRPr="00D34C55" w:rsidTr="00765430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Objectives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71094F" w:rsidP="0071094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Reading, understanding texts and speaking about sport management</w:t>
            </w:r>
          </w:p>
        </w:tc>
      </w:tr>
      <w:tr w:rsidR="00E1623E" w:rsidRPr="00D34C55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Course Learning Outcomes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3B391C" w:rsidRPr="00D34C55" w:rsidRDefault="003B391C" w:rsidP="003B391C">
            <w:pPr>
              <w:pStyle w:val="TableParagraph"/>
              <w:ind w:righ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1. Understanding the texts and writing about the sport management</w:t>
            </w:r>
          </w:p>
          <w:p w:rsidR="003B391C" w:rsidRPr="00D34C55" w:rsidRDefault="003B391C" w:rsidP="003B391C">
            <w:pPr>
              <w:pStyle w:val="TableParagraph"/>
              <w:ind w:righ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094F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1094F" w:rsidRPr="00D34C55">
              <w:rPr>
                <w:rFonts w:ascii="Times New Roman" w:hAnsi="Times New Roman" w:cs="Times New Roman"/>
                <w:sz w:val="20"/>
                <w:szCs w:val="20"/>
              </w:rPr>
              <w:t>ecogniz</w:t>
            </w: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ing the </w:t>
            </w:r>
            <w:r w:rsidR="0071094F" w:rsidRPr="00D34C55">
              <w:rPr>
                <w:rFonts w:ascii="Times New Roman" w:hAnsi="Times New Roman" w:cs="Times New Roman"/>
                <w:sz w:val="20"/>
                <w:szCs w:val="20"/>
              </w:rPr>
              <w:t>grammatical and semantic links beyond sentence level, sentence analysis, to employ reading skills appropriate to the task, to comprehend texts appropriate to their level, to</w:t>
            </w: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94F" w:rsidRPr="00D34C55">
              <w:rPr>
                <w:rFonts w:ascii="Times New Roman" w:hAnsi="Times New Roman" w:cs="Times New Roman"/>
                <w:sz w:val="20"/>
                <w:szCs w:val="20"/>
              </w:rPr>
              <w:t>improve their professional le</w:t>
            </w: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vel.</w:t>
            </w:r>
          </w:p>
          <w:p w:rsidR="00E1623E" w:rsidRPr="00D34C55" w:rsidRDefault="00E1623E" w:rsidP="003B3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r w:rsidR="003B391C" w:rsidRPr="00D34C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Speaking about the </w:t>
            </w:r>
            <w:r w:rsidRPr="00D34C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sports system </w:t>
            </w:r>
            <w:r w:rsidR="003B391C" w:rsidRPr="00D34C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 sport management.</w:t>
            </w:r>
          </w:p>
        </w:tc>
      </w:tr>
      <w:tr w:rsidR="00E1623E" w:rsidRPr="00D34C55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Instruction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Formal learning</w:t>
            </w:r>
          </w:p>
        </w:tc>
      </w:tr>
      <w:tr w:rsidR="00E1623E" w:rsidRPr="00D34C55" w:rsidTr="00765430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Weekly Schedule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1. First meeting: information about the course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2.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industry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2450" w:rsidRPr="00D34C55" w:rsidRDefault="00E1623E" w:rsidP="00765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3.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What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is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management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1623E" w:rsidRPr="00D34C55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Human </w:t>
            </w:r>
            <w:proofErr w:type="spellStart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resource</w:t>
            </w:r>
            <w:proofErr w:type="spellEnd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management</w:t>
            </w:r>
            <w:proofErr w:type="spellEnd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  <w:proofErr w:type="spellEnd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23E" w:rsidRPr="00D34C55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</w:t>
            </w:r>
            <w:r w:rsidR="00E1623E"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. </w:t>
            </w: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Human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resource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planning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="003B391C"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23E" w:rsidRPr="00D34C55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6</w:t>
            </w:r>
            <w:r w:rsidR="00E1623E"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.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Careers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recreation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industry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7. </w:t>
            </w:r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nature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selecting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placing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human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resources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8.  Midterm Exam</w:t>
            </w:r>
          </w:p>
          <w:p w:rsidR="007D2450" w:rsidRPr="00D34C55" w:rsidRDefault="00E1623E" w:rsidP="00765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9.</w:t>
            </w:r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Measuring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employee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performance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23E" w:rsidRPr="00D34C55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10</w:t>
            </w: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Planing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facilities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23E" w:rsidRPr="00D34C55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11.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Health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safety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security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  <w:proofErr w:type="spellEnd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facilities</w:t>
            </w:r>
            <w:proofErr w:type="spellEnd"/>
          </w:p>
          <w:p w:rsidR="005C3405" w:rsidRPr="00D34C55" w:rsidRDefault="00E1623E" w:rsidP="00765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12. </w:t>
            </w:r>
            <w:r w:rsidR="005C3405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Sports </w:t>
            </w:r>
            <w:proofErr w:type="spellStart"/>
            <w:r w:rsidR="005C3405" w:rsidRPr="00D34C55">
              <w:rPr>
                <w:rFonts w:ascii="Times New Roman" w:hAnsi="Times New Roman" w:cs="Times New Roman"/>
                <w:sz w:val="20"/>
                <w:szCs w:val="20"/>
              </w:rPr>
              <w:t>organisations</w:t>
            </w:r>
            <w:proofErr w:type="spellEnd"/>
            <w:r w:rsidR="005C3405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623E" w:rsidRPr="00D34C55" w:rsidRDefault="007D2450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13. Model development for Turkish sports management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14. Comparative analysis of Turkish sport management</w:t>
            </w:r>
          </w:p>
          <w:p w:rsidR="00E1623E" w:rsidRPr="00D34C55" w:rsidRDefault="00E1623E" w:rsidP="007D2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15. </w:t>
            </w:r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Evaluation of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2450" w:rsidRPr="00D34C55">
              <w:rPr>
                <w:rFonts w:ascii="Times New Roman" w:hAnsi="Times New Roman" w:cs="Times New Roman"/>
                <w:sz w:val="20"/>
                <w:szCs w:val="20"/>
              </w:rPr>
              <w:t>course</w:t>
            </w:r>
            <w:proofErr w:type="spellEnd"/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 </w:t>
            </w:r>
          </w:p>
        </w:tc>
      </w:tr>
      <w:tr w:rsidR="00E1623E" w:rsidRPr="00D34C55" w:rsidTr="00626ED1">
        <w:trPr>
          <w:trHeight w:val="1346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Teaching and Learning Methods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p w:rsidR="005C3405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Weekly theoretical course hours</w:t>
            </w:r>
          </w:p>
          <w:p w:rsidR="00E1623E" w:rsidRPr="00D34C55" w:rsidRDefault="005C3405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proofErr w:type="spellStart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Weekly</w:t>
            </w:r>
            <w:proofErr w:type="spellEnd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applied</w:t>
            </w:r>
            <w:proofErr w:type="spellEnd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course</w:t>
            </w:r>
            <w:proofErr w:type="spellEnd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4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hours</w:t>
            </w:r>
            <w:proofErr w:type="spellEnd"/>
            <w:r w:rsidR="00E1623E"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="00E1623E"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Reading Activities</w:t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Internet browsing, library work                   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Mid-term exam</w:t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  <w:t xml:space="preserve">                            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Report preparing</w:t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ab/>
            </w:r>
          </w:p>
          <w:p w:rsidR="00E1623E" w:rsidRPr="00D34C55" w:rsidRDefault="00E1623E" w:rsidP="00626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Final Exam and Preparation for Final Exam</w:t>
            </w:r>
          </w:p>
        </w:tc>
      </w:tr>
      <w:tr w:rsidR="00E1623E" w:rsidRPr="00D34C55" w:rsidTr="00765430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Assessment Criteria</w:t>
            </w: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005"/>
              <w:gridCol w:w="2114"/>
            </w:tblGrid>
            <w:tr w:rsidR="00E1623E" w:rsidRPr="00D34C55" w:rsidTr="00626ED1">
              <w:trPr>
                <w:trHeight w:val="270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Numbers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Total </w:t>
                  </w:r>
                  <w:proofErr w:type="spellStart"/>
                  <w:r w:rsidR="00D34C55" w:rsidRPr="00D34C5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r w:rsidR="00D34C55" w:rsidRPr="00D34C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 xml:space="preserve"> </w:t>
                  </w:r>
                  <w:r w:rsidRPr="00D34C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(%)</w:t>
                  </w:r>
                </w:p>
              </w:tc>
            </w:tr>
            <w:tr w:rsidR="00E1623E" w:rsidRPr="00D34C55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Midterm Exams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tabs>
                      <w:tab w:val="left" w:pos="468"/>
                      <w:tab w:val="center" w:pos="60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9A7EC7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  <w:r w:rsidR="00566B94"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E1623E" w:rsidRPr="00D34C55" w:rsidTr="00765430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Assignment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9A7EC7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9A7EC7" w:rsidP="009A7EC7">
                  <w:pPr>
                    <w:tabs>
                      <w:tab w:val="left" w:pos="787"/>
                      <w:tab w:val="center" w:pos="949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</w:tr>
            <w:tr w:rsidR="00E1623E" w:rsidRPr="00D34C55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Application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Projects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Practice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Quiz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48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 of In-term Studies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566B94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9A7EC7"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E1623E" w:rsidRPr="00D34C55" w:rsidTr="00765430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Percentage of Final Exam to Total Score (%)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566B94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50</w:t>
                  </w:r>
                </w:p>
              </w:tc>
            </w:tr>
            <w:tr w:rsidR="00E1623E" w:rsidRPr="00D34C55" w:rsidTr="00765430">
              <w:trPr>
                <w:trHeight w:val="236"/>
              </w:trPr>
              <w:tc>
                <w:tcPr>
                  <w:tcW w:w="2830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lastRenderedPageBreak/>
                    <w:t>Attendance</w:t>
                  </w:r>
                </w:p>
              </w:tc>
              <w:tc>
                <w:tcPr>
                  <w:tcW w:w="1005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2114" w:type="dxa"/>
                  <w:shd w:val="clear" w:color="auto" w:fill="auto"/>
                </w:tcPr>
                <w:p w:rsidR="00E1623E" w:rsidRPr="00D34C55" w:rsidRDefault="00E1623E" w:rsidP="007654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</w:tbl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E1623E" w:rsidRPr="00D34C55" w:rsidTr="00765430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lastRenderedPageBreak/>
              <w:t>Workload</w:t>
            </w:r>
          </w:p>
        </w:tc>
        <w:tc>
          <w:tcPr>
            <w:tcW w:w="6122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E1623E" w:rsidRPr="00D34C55" w:rsidTr="00765430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tr-TR"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tr-TR"/>
                    </w:rPr>
                    <w:t>Total Period Work Load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28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  <w:r w:rsidR="00F324DC"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Midterm Exam and Prep</w:t>
                  </w:r>
                  <w:r w:rsidR="00B63563"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AD41F8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AD41F8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Final Exam and Prep</w:t>
                  </w:r>
                  <w:r w:rsidR="00B63563"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a</w:t>
                  </w: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AD41F8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AD41F8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AD41F8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100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AD41F8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  <w:r w:rsidR="00E1623E"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,</w:t>
                  </w: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  <w:r w:rsidR="00F324DC"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0</w:t>
                  </w:r>
                </w:p>
              </w:tc>
            </w:tr>
            <w:tr w:rsidR="00E1623E" w:rsidRPr="00D34C55" w:rsidTr="00765430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</w:tr>
          </w:tbl>
          <w:p w:rsidR="00E1623E" w:rsidRPr="00D34C55" w:rsidRDefault="00E1623E" w:rsidP="0076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tr-TR"/>
              </w:rPr>
            </w:pPr>
          </w:p>
        </w:tc>
      </w:tr>
      <w:tr w:rsidR="00E1623E" w:rsidRPr="00D34C55" w:rsidTr="00765430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Contribution Level Between Course Learning Outcomes and Program Outcomes</w:t>
            </w:r>
          </w:p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6122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F324DC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1623E" w:rsidRPr="00D34C55" w:rsidTr="00765430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tr-TR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706ACD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D34C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1623E" w:rsidRPr="00D34C55" w:rsidRDefault="00E1623E" w:rsidP="00AB1FD8">
                  <w:pPr>
                    <w:framePr w:hSpace="142" w:wrap="around" w:vAnchor="text" w:hAnchor="margin" w:xAlign="center" w:y="1"/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</w:p>
        </w:tc>
      </w:tr>
      <w:tr w:rsidR="00E1623E" w:rsidRPr="00D34C55" w:rsidTr="00706ACD">
        <w:trPr>
          <w:trHeight w:val="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E1623E" w:rsidRPr="00D34C55" w:rsidRDefault="00E1623E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The Course’s Lecturer(s) and Contact </w:t>
            </w:r>
            <w:proofErr w:type="spellStart"/>
            <w:r w:rsidRPr="00D3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Informations</w:t>
            </w:r>
            <w:proofErr w:type="spellEnd"/>
          </w:p>
        </w:tc>
        <w:tc>
          <w:tcPr>
            <w:tcW w:w="6122" w:type="dxa"/>
            <w:shd w:val="clear" w:color="auto" w:fill="auto"/>
            <w:vAlign w:val="center"/>
            <w:hideMark/>
          </w:tcPr>
          <w:p w:rsidR="00E1623E" w:rsidRPr="00D34C55" w:rsidRDefault="00566B94" w:rsidP="0076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D34C55">
              <w:rPr>
                <w:rFonts w:ascii="Times New Roman" w:hAnsi="Times New Roman" w:cs="Times New Roman"/>
                <w:sz w:val="20"/>
                <w:szCs w:val="20"/>
              </w:rPr>
              <w:t>Prof</w:t>
            </w:r>
            <w:r w:rsidR="00706ACD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. Dr. Zafer </w:t>
            </w:r>
            <w:proofErr w:type="gramStart"/>
            <w:r w:rsidR="00706ACD" w:rsidRPr="00D34C55">
              <w:rPr>
                <w:rFonts w:ascii="Times New Roman" w:hAnsi="Times New Roman" w:cs="Times New Roman"/>
                <w:sz w:val="20"/>
                <w:szCs w:val="20"/>
              </w:rPr>
              <w:t xml:space="preserve">Çimen    </w:t>
            </w:r>
            <w:r w:rsidR="00706ACD" w:rsidRPr="00D34C55">
              <w:rPr>
                <w:rFonts w:ascii="Times New Roman" w:hAnsi="Times New Roman" w:cs="Times New Roman"/>
                <w:iCs/>
                <w:sz w:val="20"/>
                <w:szCs w:val="20"/>
              </w:rPr>
              <w:t>zcimen</w:t>
            </w:r>
            <w:proofErr w:type="gramEnd"/>
            <w:r w:rsidR="00706ACD" w:rsidRPr="00D34C55">
              <w:rPr>
                <w:rFonts w:ascii="Times New Roman" w:hAnsi="Times New Roman" w:cs="Times New Roman"/>
                <w:iCs/>
                <w:sz w:val="20"/>
                <w:szCs w:val="20"/>
              </w:rPr>
              <w:t>@gazi.edu.tr</w:t>
            </w:r>
          </w:p>
        </w:tc>
      </w:tr>
    </w:tbl>
    <w:p w:rsidR="00C94E3D" w:rsidRPr="00D34C55" w:rsidRDefault="00C94E3D">
      <w:pPr>
        <w:rPr>
          <w:rFonts w:ascii="Times New Roman" w:hAnsi="Times New Roman" w:cs="Times New Roman"/>
          <w:sz w:val="20"/>
          <w:szCs w:val="20"/>
        </w:rPr>
      </w:pPr>
    </w:p>
    <w:sectPr w:rsidR="00C94E3D" w:rsidRPr="00D34C55" w:rsidSect="00B04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7BE4"/>
    <w:rsid w:val="00107F4B"/>
    <w:rsid w:val="003B391C"/>
    <w:rsid w:val="003E008F"/>
    <w:rsid w:val="00527A19"/>
    <w:rsid w:val="00566B94"/>
    <w:rsid w:val="005C3405"/>
    <w:rsid w:val="00626ED1"/>
    <w:rsid w:val="00706ACD"/>
    <w:rsid w:val="0071094F"/>
    <w:rsid w:val="007D2450"/>
    <w:rsid w:val="009A7EC7"/>
    <w:rsid w:val="00AB1FD8"/>
    <w:rsid w:val="00AD41F8"/>
    <w:rsid w:val="00B043BB"/>
    <w:rsid w:val="00B63563"/>
    <w:rsid w:val="00C94E3D"/>
    <w:rsid w:val="00D34C55"/>
    <w:rsid w:val="00DA7BE4"/>
    <w:rsid w:val="00E1623E"/>
    <w:rsid w:val="00F3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1E1C2-44DB-4B3F-A7D9-40842499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2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162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3B39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14</cp:revision>
  <dcterms:created xsi:type="dcterms:W3CDTF">2018-12-18T20:05:00Z</dcterms:created>
  <dcterms:modified xsi:type="dcterms:W3CDTF">2019-09-03T15:13:00Z</dcterms:modified>
</cp:coreProperties>
</file>