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2759F7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2759F7" w:rsidRDefault="002759F7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</w:rPr>
              <w:t>COURSE DESCR</w:t>
            </w:r>
            <w:r w:rsidR="00226B7A">
              <w:rPr>
                <w:b/>
                <w:bCs/>
                <w:color w:val="000000"/>
              </w:rPr>
              <w:t>I</w:t>
            </w:r>
            <w:r w:rsidRPr="002759F7">
              <w:rPr>
                <w:b/>
                <w:bCs/>
                <w:color w:val="000000"/>
              </w:rPr>
              <w:t>PT</w:t>
            </w:r>
            <w:r w:rsidR="00226B7A">
              <w:rPr>
                <w:b/>
                <w:bCs/>
                <w:color w:val="000000"/>
              </w:rPr>
              <w:t>I</w:t>
            </w:r>
            <w:r w:rsidRPr="002759F7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2759F7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33599F" w:rsidP="00B8078E">
            <w:pPr>
              <w:pStyle w:val="Balk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3A26D5" w:rsidRPr="002759F7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B8078E">
              <w:rPr>
                <w:rFonts w:cs="Times New Roman"/>
                <w:b/>
                <w:sz w:val="20"/>
                <w:szCs w:val="20"/>
              </w:rPr>
              <w:t>322-</w:t>
            </w:r>
            <w:bookmarkStart w:id="0" w:name="_GoBack"/>
            <w:bookmarkEnd w:id="0"/>
            <w:r w:rsidR="002759F7" w:rsidRPr="002759F7">
              <w:rPr>
                <w:rFonts w:cs="Times New Roman"/>
                <w:b/>
                <w:sz w:val="20"/>
                <w:szCs w:val="20"/>
              </w:rPr>
              <w:t xml:space="preserve"> SPORT CLUBS MANAGEMENT</w:t>
            </w:r>
          </w:p>
        </w:tc>
      </w:tr>
      <w:tr w:rsidR="006255AF" w:rsidRPr="002759F7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FA01BB" w:rsidP="00F81503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color w:val="000000"/>
                <w:sz w:val="20"/>
                <w:szCs w:val="20"/>
              </w:rPr>
              <w:t>Fall</w:t>
            </w:r>
            <w:r w:rsidR="002759F7">
              <w:rPr>
                <w:color w:val="000000"/>
                <w:sz w:val="20"/>
                <w:szCs w:val="20"/>
              </w:rPr>
              <w:t>-</w:t>
            </w:r>
            <w:r w:rsidRPr="002759F7">
              <w:rPr>
                <w:color w:val="000000"/>
                <w:sz w:val="20"/>
                <w:szCs w:val="20"/>
              </w:rPr>
              <w:t>Spring</w:t>
            </w:r>
          </w:p>
        </w:tc>
      </w:tr>
      <w:tr w:rsidR="006255AF" w:rsidRPr="002759F7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576FE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Concept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club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sports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economic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social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important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those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role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cluns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models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structure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role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system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implementing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into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human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resources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</w:tc>
      </w:tr>
      <w:tr w:rsidR="006255AF" w:rsidRPr="002759F7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576FE4" w:rsidP="00500E5D">
            <w:p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Robinson</w:t>
            </w:r>
            <w:proofErr w:type="spellEnd"/>
            <w:r w:rsidRPr="002759F7">
              <w:rPr>
                <w:sz w:val="20"/>
                <w:szCs w:val="20"/>
              </w:rPr>
              <w:t>, M. (2010). 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. Human </w:t>
            </w:r>
            <w:proofErr w:type="spellStart"/>
            <w:r w:rsidRPr="002759F7">
              <w:rPr>
                <w:sz w:val="20"/>
                <w:szCs w:val="20"/>
              </w:rPr>
              <w:t>Kinetics</w:t>
            </w:r>
            <w:proofErr w:type="spellEnd"/>
            <w:r w:rsidRPr="002759F7">
              <w:rPr>
                <w:sz w:val="20"/>
                <w:szCs w:val="20"/>
              </w:rPr>
              <w:t>.</w:t>
            </w:r>
          </w:p>
        </w:tc>
      </w:tr>
      <w:tr w:rsidR="006255AF" w:rsidRPr="002759F7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00E5D" w:rsidRPr="002759F7" w:rsidRDefault="00500E5D" w:rsidP="00500E5D">
            <w:pPr>
              <w:pStyle w:val="TableParagraph"/>
              <w:spacing w:line="242" w:lineRule="auto"/>
              <w:ind w:right="13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Heinemann, Sport Clubs in Various European Countries, Hoffman, Verlag, 1999</w:t>
            </w:r>
          </w:p>
          <w:p w:rsidR="00500E5D" w:rsidRPr="002759F7" w:rsidRDefault="00500E5D" w:rsidP="00500E5D">
            <w:pPr>
              <w:pStyle w:val="TableParagraph"/>
              <w:ind w:right="9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Erturan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Öğüt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E.E,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Almanya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Türkiye’deki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Spor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Kulüplerinin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Karşılaştırmalı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Analizi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Gazi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Üniversitesi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Beden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Eğitimi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spor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Anabilim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Dalı,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Doktora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Tezi</w:t>
            </w:r>
            <w:proofErr w:type="spellEnd"/>
            <w:r w:rsidRPr="002759F7">
              <w:rPr>
                <w:rFonts w:ascii="Times New Roman" w:hAnsi="Times New Roman" w:cs="Times New Roman"/>
                <w:sz w:val="20"/>
                <w:szCs w:val="20"/>
              </w:rPr>
              <w:t>, 2010</w:t>
            </w:r>
          </w:p>
          <w:p w:rsidR="00500E5D" w:rsidRPr="002759F7" w:rsidRDefault="00500E5D" w:rsidP="00500E5D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>İmamoğlu, A.F</w:t>
            </w:r>
            <w:proofErr w:type="gramStart"/>
            <w:r w:rsidRPr="002759F7">
              <w:rPr>
                <w:sz w:val="20"/>
                <w:szCs w:val="20"/>
              </w:rPr>
              <w:t>.;</w:t>
            </w:r>
            <w:proofErr w:type="gramEnd"/>
            <w:r w:rsidRPr="002759F7">
              <w:rPr>
                <w:sz w:val="20"/>
                <w:szCs w:val="20"/>
              </w:rPr>
              <w:t xml:space="preserve"> Karaoğlu, E., </w:t>
            </w:r>
            <w:proofErr w:type="spellStart"/>
            <w:r w:rsidRPr="002759F7">
              <w:rPr>
                <w:sz w:val="20"/>
                <w:szCs w:val="20"/>
              </w:rPr>
              <w:t>Erturan</w:t>
            </w:r>
            <w:proofErr w:type="spellEnd"/>
            <w:r w:rsidRPr="002759F7">
              <w:rPr>
                <w:sz w:val="20"/>
                <w:szCs w:val="20"/>
              </w:rPr>
              <w:t>, E.E.; Türkiye’de Spor Kulüplerinin Yapısal Nitelikleri ve Temel Problemleri, Gazi Beden Eğitimi ve Spor Dergisi, Cilt 12, Sayı 3, Temmuz 2007, S.35-61</w:t>
            </w:r>
          </w:p>
          <w:p w:rsidR="006255AF" w:rsidRPr="002759F7" w:rsidRDefault="00500E5D" w:rsidP="00500E5D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759F7">
              <w:rPr>
                <w:sz w:val="20"/>
                <w:szCs w:val="20"/>
              </w:rPr>
              <w:t>Eren,E</w:t>
            </w:r>
            <w:proofErr w:type="spellEnd"/>
            <w:proofErr w:type="gramEnd"/>
            <w:r w:rsidRPr="002759F7">
              <w:rPr>
                <w:sz w:val="20"/>
                <w:szCs w:val="20"/>
              </w:rPr>
              <w:t xml:space="preserve">; Yönetim ve Organizasyon, İst. </w:t>
            </w:r>
            <w:proofErr w:type="spellStart"/>
            <w:r w:rsidRPr="002759F7">
              <w:rPr>
                <w:sz w:val="20"/>
                <w:szCs w:val="20"/>
              </w:rPr>
              <w:t>Ünv</w:t>
            </w:r>
            <w:proofErr w:type="spellEnd"/>
            <w:r w:rsidRPr="002759F7">
              <w:rPr>
                <w:sz w:val="20"/>
                <w:szCs w:val="20"/>
              </w:rPr>
              <w:t xml:space="preserve">. </w:t>
            </w:r>
            <w:proofErr w:type="spellStart"/>
            <w:r w:rsidRPr="002759F7">
              <w:rPr>
                <w:sz w:val="20"/>
                <w:szCs w:val="20"/>
              </w:rPr>
              <w:t>İşt</w:t>
            </w:r>
            <w:proofErr w:type="spellEnd"/>
            <w:r w:rsidRPr="002759F7">
              <w:rPr>
                <w:sz w:val="20"/>
                <w:szCs w:val="20"/>
              </w:rPr>
              <w:t>. Fak. Yay. İstanbul, 1991</w:t>
            </w:r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2759F7" w:rsidRDefault="00AB31AD" w:rsidP="00F81503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color w:val="000000"/>
                <w:sz w:val="20"/>
                <w:szCs w:val="20"/>
              </w:rPr>
              <w:t>3</w:t>
            </w:r>
          </w:p>
        </w:tc>
      </w:tr>
      <w:tr w:rsidR="006255AF" w:rsidRPr="002759F7" w:rsidTr="00A9541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A9541F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2759F7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76FE4" w:rsidRPr="002759F7" w:rsidRDefault="00576FE4" w:rsidP="00576FE4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1.Giving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fundementals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basic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skills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regarding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</w:p>
          <w:p w:rsidR="00576FE4" w:rsidRPr="002759F7" w:rsidRDefault="00576FE4" w:rsidP="00576FE4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2. </w:t>
            </w:r>
            <w:proofErr w:type="spellStart"/>
            <w:r w:rsidRPr="002759F7">
              <w:rPr>
                <w:sz w:val="20"/>
                <w:szCs w:val="20"/>
              </w:rPr>
              <w:t>Informing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about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stakeholders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3. </w:t>
            </w:r>
            <w:proofErr w:type="spellStart"/>
            <w:r w:rsidRPr="002759F7">
              <w:rPr>
                <w:sz w:val="20"/>
                <w:szCs w:val="20"/>
              </w:rPr>
              <w:t>Teaching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financial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manegerial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structures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4. </w:t>
            </w:r>
            <w:proofErr w:type="spellStart"/>
            <w:r w:rsidRPr="002759F7">
              <w:rPr>
                <w:sz w:val="20"/>
                <w:szCs w:val="20"/>
              </w:rPr>
              <w:t>Pointing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regulations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related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jc w:val="both"/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5. </w:t>
            </w:r>
            <w:proofErr w:type="spellStart"/>
            <w:r w:rsidRPr="002759F7">
              <w:rPr>
                <w:sz w:val="20"/>
                <w:szCs w:val="20"/>
              </w:rPr>
              <w:t>Sharing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opinions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about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problems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suggestions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for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6255AF" w:rsidRPr="002759F7" w:rsidRDefault="00576FE4" w:rsidP="00576FE4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6. </w:t>
            </w:r>
            <w:proofErr w:type="spellStart"/>
            <w:r w:rsidRPr="002759F7">
              <w:rPr>
                <w:sz w:val="20"/>
                <w:szCs w:val="20"/>
              </w:rPr>
              <w:t>Giving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practical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implications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manegerial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process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starting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from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foundation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csport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576FE4" w:rsidRPr="002759F7" w:rsidRDefault="00576FE4" w:rsidP="00576FE4">
            <w:p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1. </w:t>
            </w:r>
            <w:proofErr w:type="spellStart"/>
            <w:r w:rsidRPr="002759F7">
              <w:rPr>
                <w:sz w:val="20"/>
                <w:szCs w:val="20"/>
              </w:rPr>
              <w:t>Knowing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related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concepts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structure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country</w:t>
            </w:r>
            <w:proofErr w:type="spellEnd"/>
          </w:p>
          <w:p w:rsidR="00576FE4" w:rsidRPr="002759F7" w:rsidRDefault="00576FE4" w:rsidP="00576FE4">
            <w:p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2. </w:t>
            </w:r>
            <w:proofErr w:type="spellStart"/>
            <w:r w:rsidRPr="002759F7">
              <w:rPr>
                <w:sz w:val="20"/>
                <w:szCs w:val="20"/>
              </w:rPr>
              <w:t>Being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aware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practical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implications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manegerial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process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starting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from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foundation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csport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3- </w:t>
            </w:r>
            <w:proofErr w:type="spellStart"/>
            <w:r w:rsidRPr="002759F7">
              <w:rPr>
                <w:sz w:val="20"/>
                <w:szCs w:val="20"/>
              </w:rPr>
              <w:t>Being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able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suggest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solutions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position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evalute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terms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their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socio-economical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environment</w:t>
            </w:r>
            <w:proofErr w:type="spellEnd"/>
            <w:r w:rsidRPr="002759F7">
              <w:rPr>
                <w:sz w:val="20"/>
                <w:szCs w:val="20"/>
              </w:rPr>
              <w:t xml:space="preserve">. </w:t>
            </w:r>
          </w:p>
          <w:p w:rsidR="006255AF" w:rsidRPr="002759F7" w:rsidRDefault="00576FE4" w:rsidP="00576FE4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4-Having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formation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adequate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work</w:t>
            </w:r>
            <w:proofErr w:type="spellEnd"/>
            <w:r w:rsidRPr="002759F7">
              <w:rPr>
                <w:sz w:val="20"/>
                <w:szCs w:val="20"/>
              </w:rPr>
              <w:t xml:space="preserve"> as a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manager</w:t>
            </w:r>
            <w:proofErr w:type="spellEnd"/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2759F7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</w:t>
            </w:r>
            <w:r w:rsidR="00576FE4" w:rsidRPr="002759F7">
              <w:rPr>
                <w:color w:val="000000"/>
                <w:sz w:val="20"/>
                <w:szCs w:val="20"/>
              </w:rPr>
              <w:t>ormal</w:t>
            </w:r>
            <w:proofErr w:type="spellEnd"/>
            <w:r w:rsidR="00576FE4"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76FE4" w:rsidRPr="002759F7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2759F7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Concept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economic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social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importance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role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models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Structure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  <w:r w:rsidRPr="002759F7">
              <w:rPr>
                <w:sz w:val="20"/>
                <w:szCs w:val="20"/>
              </w:rPr>
              <w:t xml:space="preserve">: </w:t>
            </w:r>
            <w:proofErr w:type="spellStart"/>
            <w:r w:rsidRPr="002759F7">
              <w:rPr>
                <w:sz w:val="20"/>
                <w:szCs w:val="20"/>
              </w:rPr>
              <w:t>foundation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types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Structure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  <w:r w:rsidRPr="002759F7">
              <w:rPr>
                <w:sz w:val="20"/>
                <w:szCs w:val="20"/>
              </w:rPr>
              <w:t xml:space="preserve">: </w:t>
            </w:r>
            <w:proofErr w:type="spellStart"/>
            <w:r w:rsidRPr="002759F7">
              <w:rPr>
                <w:sz w:val="20"/>
                <w:szCs w:val="20"/>
              </w:rPr>
              <w:t>organisational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structure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role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system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Current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issues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  <w:r w:rsidRPr="002759F7">
              <w:rPr>
                <w:sz w:val="20"/>
                <w:szCs w:val="20"/>
              </w:rPr>
              <w:t xml:space="preserve">: Financial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managerial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problems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Current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issues</w:t>
            </w:r>
            <w:proofErr w:type="spellEnd"/>
            <w:r w:rsidRPr="002759F7">
              <w:rPr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Turkey</w:t>
            </w:r>
            <w:proofErr w:type="spellEnd"/>
            <w:r w:rsidRPr="002759F7">
              <w:rPr>
                <w:sz w:val="20"/>
                <w:szCs w:val="20"/>
              </w:rPr>
              <w:t xml:space="preserve">: </w:t>
            </w:r>
            <w:proofErr w:type="spellStart"/>
            <w:r w:rsidRPr="002759F7">
              <w:rPr>
                <w:sz w:val="20"/>
                <w:szCs w:val="20"/>
              </w:rPr>
              <w:t>Problems</w:t>
            </w:r>
            <w:proofErr w:type="spellEnd"/>
            <w:r w:rsidRPr="002759F7">
              <w:rPr>
                <w:sz w:val="20"/>
                <w:szCs w:val="20"/>
              </w:rPr>
              <w:t xml:space="preserve"> on </w:t>
            </w:r>
            <w:proofErr w:type="spellStart"/>
            <w:r w:rsidRPr="002759F7">
              <w:rPr>
                <w:sz w:val="20"/>
                <w:szCs w:val="20"/>
              </w:rPr>
              <w:t>human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resources</w:t>
            </w:r>
            <w:proofErr w:type="spell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facilities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social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awareness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Midterm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exam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Implementing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into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: </w:t>
            </w:r>
            <w:proofErr w:type="spellStart"/>
            <w:r w:rsidRPr="002759F7">
              <w:rPr>
                <w:sz w:val="20"/>
                <w:szCs w:val="20"/>
              </w:rPr>
              <w:t>planning</w:t>
            </w:r>
            <w:proofErr w:type="spellEnd"/>
            <w:proofErr w:type="gram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organizing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Implementing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functions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into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59F7">
              <w:rPr>
                <w:sz w:val="20"/>
                <w:szCs w:val="20"/>
              </w:rPr>
              <w:lastRenderedPageBreak/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: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proofErr w:type="gramEnd"/>
            <w:r w:rsidRPr="002759F7">
              <w:rPr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sz w:val="20"/>
                <w:szCs w:val="20"/>
              </w:rPr>
              <w:t>coordination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and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control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Human </w:t>
            </w:r>
            <w:proofErr w:type="spellStart"/>
            <w:r w:rsidRPr="002759F7">
              <w:rPr>
                <w:sz w:val="20"/>
                <w:szCs w:val="20"/>
              </w:rPr>
              <w:t>resources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2759F7">
              <w:rPr>
                <w:sz w:val="20"/>
                <w:szCs w:val="20"/>
              </w:rPr>
              <w:t>Incorporation</w:t>
            </w:r>
            <w:proofErr w:type="spellEnd"/>
            <w:r w:rsidRPr="002759F7">
              <w:rPr>
                <w:sz w:val="20"/>
                <w:szCs w:val="20"/>
              </w:rPr>
              <w:t xml:space="preserve">/ </w:t>
            </w:r>
            <w:proofErr w:type="spellStart"/>
            <w:r w:rsidRPr="002759F7">
              <w:rPr>
                <w:sz w:val="20"/>
                <w:szCs w:val="20"/>
              </w:rPr>
              <w:t>stock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share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options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Case </w:t>
            </w:r>
            <w:proofErr w:type="spellStart"/>
            <w:r w:rsidRPr="002759F7">
              <w:rPr>
                <w:sz w:val="20"/>
                <w:szCs w:val="20"/>
              </w:rPr>
              <w:t>studies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related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world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Case </w:t>
            </w:r>
            <w:proofErr w:type="spellStart"/>
            <w:r w:rsidRPr="002759F7">
              <w:rPr>
                <w:sz w:val="20"/>
                <w:szCs w:val="20"/>
              </w:rPr>
              <w:t>studies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related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to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sport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clubs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management</w:t>
            </w:r>
            <w:proofErr w:type="spellEnd"/>
            <w:r w:rsidRPr="002759F7">
              <w:rPr>
                <w:sz w:val="20"/>
                <w:szCs w:val="20"/>
              </w:rPr>
              <w:t xml:space="preserve"> in </w:t>
            </w:r>
            <w:proofErr w:type="spellStart"/>
            <w:r w:rsidRPr="002759F7">
              <w:rPr>
                <w:sz w:val="20"/>
                <w:szCs w:val="20"/>
              </w:rPr>
              <w:t>the</w:t>
            </w:r>
            <w:proofErr w:type="spellEnd"/>
            <w:r w:rsidRPr="002759F7">
              <w:rPr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sz w:val="20"/>
                <w:szCs w:val="20"/>
              </w:rPr>
              <w:t>world</w:t>
            </w:r>
            <w:proofErr w:type="spellEnd"/>
          </w:p>
          <w:p w:rsidR="00576FE4" w:rsidRPr="002759F7" w:rsidRDefault="00576FE4" w:rsidP="00576FE4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2759F7">
              <w:rPr>
                <w:sz w:val="20"/>
                <w:szCs w:val="20"/>
              </w:rPr>
              <w:t xml:space="preserve">Course </w:t>
            </w:r>
            <w:proofErr w:type="spellStart"/>
            <w:r w:rsidRPr="002759F7">
              <w:rPr>
                <w:sz w:val="20"/>
                <w:szCs w:val="20"/>
              </w:rPr>
              <w:t>review</w:t>
            </w:r>
            <w:proofErr w:type="spellEnd"/>
          </w:p>
        </w:tc>
      </w:tr>
      <w:tr w:rsidR="006255AF" w:rsidRPr="002759F7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lastRenderedPageBreak/>
              <w:t>Teaching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Preparing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a Presentation</w:t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Presentations</w:t>
            </w:r>
            <w:proofErr w:type="spellEnd"/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AB31AD" w:rsidRPr="002759F7">
              <w:rPr>
                <w:color w:val="000000"/>
                <w:sz w:val="20"/>
                <w:szCs w:val="20"/>
              </w:rPr>
              <w:tab/>
            </w:r>
          </w:p>
          <w:p w:rsidR="006255AF" w:rsidRPr="002759F7" w:rsidRDefault="006255AF" w:rsidP="00576FE4">
            <w:pPr>
              <w:rPr>
                <w:color w:val="000000"/>
                <w:sz w:val="20"/>
                <w:szCs w:val="20"/>
              </w:rPr>
            </w:pPr>
            <w:r w:rsidRPr="002759F7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2759F7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2759F7">
              <w:rPr>
                <w:color w:val="000000"/>
                <w:sz w:val="20"/>
                <w:szCs w:val="20"/>
              </w:rPr>
              <w:tab/>
            </w:r>
          </w:p>
        </w:tc>
      </w:tr>
      <w:tr w:rsidR="006255AF" w:rsidRPr="002759F7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2759F7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2759F7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759F7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759F7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59F7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5B4204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5B4204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759F7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FA01BB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576FE4" w:rsidRPr="002759F7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6FE4" w:rsidRPr="002759F7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FA01BB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576FE4" w:rsidRPr="002759F7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576FE4" w:rsidRPr="002759F7" w:rsidRDefault="00576FE4" w:rsidP="00576FE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2759F7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76FE4" w:rsidRPr="002759F7" w:rsidRDefault="00576FE4" w:rsidP="00576FE4">
                  <w:pPr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2759F7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2759F7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2759F7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2759F7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2759F7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2759F7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2759F7" w:rsidRDefault="006255AF" w:rsidP="00B8078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759F7" w:rsidRDefault="006255AF" w:rsidP="00B8078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759F7" w:rsidRDefault="006255AF" w:rsidP="00B8078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759F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2759F7" w:rsidRDefault="006255AF" w:rsidP="00B8078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5B4204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2759F7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5B4204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2759F7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74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  <w:r w:rsidR="00576FE4" w:rsidRPr="002759F7">
                    <w:rPr>
                      <w:sz w:val="20"/>
                      <w:szCs w:val="20"/>
                    </w:rPr>
                    <w:t>,9</w:t>
                  </w:r>
                  <w:r w:rsidRPr="002759F7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576FE4" w:rsidRPr="002759F7" w:rsidTr="009075E8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2759F7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2759F7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576FE4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76FE4" w:rsidRPr="002759F7" w:rsidRDefault="00AB31AD" w:rsidP="00B8078E">
                  <w:pPr>
                    <w:framePr w:hSpace="142" w:wrap="around" w:vAnchor="text" w:hAnchor="margin" w:xAlign="center" w:y="1"/>
                    <w:jc w:val="center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6255AF" w:rsidRPr="002759F7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2759F7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759F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2759F7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6544BB" w:rsidRPr="002759F7" w:rsidTr="00B219EC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2759F7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544BB" w:rsidRPr="002759F7" w:rsidRDefault="006544BB" w:rsidP="00B8078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2759F7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2759F7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2759F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9F7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576FE4" w:rsidRPr="005B4204" w:rsidRDefault="005B4204" w:rsidP="005B42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Assoc</w:t>
            </w:r>
            <w:proofErr w:type="spellEnd"/>
            <w:r>
              <w:rPr>
                <w:sz w:val="20"/>
                <w:szCs w:val="20"/>
              </w:rPr>
              <w:t xml:space="preserve">. Prof. </w:t>
            </w:r>
            <w:r w:rsidR="00576FE4" w:rsidRPr="005B4204">
              <w:rPr>
                <w:sz w:val="20"/>
                <w:szCs w:val="20"/>
              </w:rPr>
              <w:t>Dr. Esra ERTURAN ÖĞÜT</w:t>
            </w:r>
            <w:r>
              <w:rPr>
                <w:sz w:val="20"/>
                <w:szCs w:val="20"/>
              </w:rPr>
              <w:t xml:space="preserve">         </w:t>
            </w:r>
            <w:hyperlink r:id="rId6">
              <w:r w:rsidR="00576FE4" w:rsidRPr="005B4204">
                <w:rPr>
                  <w:sz w:val="20"/>
                  <w:szCs w:val="20"/>
                  <w:u w:val="single" w:color="0000FF"/>
                </w:rPr>
                <w:t>erturan@gazi.edu.tr</w:t>
              </w:r>
            </w:hyperlink>
          </w:p>
          <w:p w:rsidR="005B4204" w:rsidRDefault="005B4204" w:rsidP="005B4204">
            <w:pPr>
              <w:rPr>
                <w:sz w:val="20"/>
                <w:szCs w:val="20"/>
              </w:rPr>
            </w:pPr>
          </w:p>
          <w:p w:rsidR="00576FE4" w:rsidRPr="005B4204" w:rsidRDefault="00576FE4" w:rsidP="005B4204">
            <w:pPr>
              <w:rPr>
                <w:sz w:val="20"/>
                <w:szCs w:val="20"/>
              </w:rPr>
            </w:pPr>
            <w:r w:rsidRPr="005B4204">
              <w:rPr>
                <w:sz w:val="20"/>
                <w:szCs w:val="20"/>
              </w:rPr>
              <w:t xml:space="preserve">Dr. Serkan </w:t>
            </w:r>
            <w:proofErr w:type="spellStart"/>
            <w:r w:rsidRPr="005B4204">
              <w:rPr>
                <w:sz w:val="20"/>
                <w:szCs w:val="20"/>
              </w:rPr>
              <w:t>Kurtipek</w:t>
            </w:r>
            <w:proofErr w:type="spellEnd"/>
            <w:r w:rsidR="005B4204">
              <w:rPr>
                <w:sz w:val="20"/>
                <w:szCs w:val="20"/>
              </w:rPr>
              <w:t xml:space="preserve">                               </w:t>
            </w:r>
            <w:r w:rsidRPr="005B4204">
              <w:rPr>
                <w:sz w:val="20"/>
                <w:szCs w:val="20"/>
              </w:rPr>
              <w:t>serkankurtipek@gazi.edu.tr</w:t>
            </w:r>
          </w:p>
          <w:p w:rsidR="006255AF" w:rsidRPr="002759F7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96AF0" w:rsidRPr="002759F7" w:rsidRDefault="00996AF0">
      <w:pPr>
        <w:rPr>
          <w:sz w:val="20"/>
          <w:szCs w:val="20"/>
        </w:rPr>
      </w:pPr>
    </w:p>
    <w:sectPr w:rsidR="00996AF0" w:rsidRPr="002759F7" w:rsidSect="00655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0CEA"/>
    <w:multiLevelType w:val="hybridMultilevel"/>
    <w:tmpl w:val="5068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568F4"/>
    <w:multiLevelType w:val="hybridMultilevel"/>
    <w:tmpl w:val="1AF8ED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226B7A"/>
    <w:rsid w:val="002759F7"/>
    <w:rsid w:val="0033599F"/>
    <w:rsid w:val="003A26D5"/>
    <w:rsid w:val="003A3AE6"/>
    <w:rsid w:val="00500E5D"/>
    <w:rsid w:val="00576FE4"/>
    <w:rsid w:val="005B4204"/>
    <w:rsid w:val="006255AF"/>
    <w:rsid w:val="006544BB"/>
    <w:rsid w:val="00655708"/>
    <w:rsid w:val="00996AF0"/>
    <w:rsid w:val="00A9541F"/>
    <w:rsid w:val="00AB31AD"/>
    <w:rsid w:val="00B8078E"/>
    <w:rsid w:val="00B816F3"/>
    <w:rsid w:val="00C80CE7"/>
    <w:rsid w:val="00FA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576FE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576F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B420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B42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turan@gazi.edu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15</cp:revision>
  <dcterms:created xsi:type="dcterms:W3CDTF">2018-12-16T08:15:00Z</dcterms:created>
  <dcterms:modified xsi:type="dcterms:W3CDTF">2019-10-01T10:20:00Z</dcterms:modified>
</cp:coreProperties>
</file>