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5AE" w:rsidRDefault="008F75AE" w:rsidP="004B41A5">
      <w:pPr>
        <w:jc w:val="center"/>
        <w:rPr>
          <w:b/>
        </w:rPr>
      </w:pPr>
      <w:r>
        <w:rPr>
          <w:b/>
        </w:rPr>
        <w:t xml:space="preserve">POR YÖNETİCİLİĞİ </w:t>
      </w:r>
      <w:r>
        <w:rPr>
          <w:b/>
        </w:rPr>
        <w:t xml:space="preserve">PROGRAM EĞİTİM AMAÇLARI </w:t>
      </w:r>
    </w:p>
    <w:p w:rsidR="008F75AE" w:rsidRDefault="008F75AE" w:rsidP="004B41A5">
      <w:pPr>
        <w:jc w:val="center"/>
        <w:rPr>
          <w:b/>
        </w:rPr>
      </w:pPr>
    </w:p>
    <w:p w:rsidR="008F75AE" w:rsidRDefault="008F75AE" w:rsidP="004B41A5">
      <w:pPr>
        <w:jc w:val="center"/>
        <w:rPr>
          <w:b/>
        </w:rPr>
      </w:pPr>
    </w:p>
    <w:p w:rsidR="008F75AE" w:rsidRPr="008F75AE" w:rsidRDefault="00A45A06" w:rsidP="008F75AE">
      <w:pPr>
        <w:jc w:val="both"/>
        <w:rPr>
          <w:b/>
        </w:rPr>
      </w:pPr>
      <w:proofErr w:type="gramStart"/>
      <w:r>
        <w:rPr>
          <w:shd w:val="clear" w:color="auto" w:fill="FFFFFF"/>
        </w:rPr>
        <w:t xml:space="preserve">G.Ü. SBF’si </w:t>
      </w:r>
      <w:r w:rsidR="008F75AE" w:rsidRPr="008F75AE">
        <w:rPr>
          <w:shd w:val="clear" w:color="auto" w:fill="FFFFFF"/>
        </w:rPr>
        <w:t>Spor Yöneticiliği Bölümü, ulusal</w:t>
      </w:r>
      <w:r w:rsidR="008F75AE">
        <w:rPr>
          <w:shd w:val="clear" w:color="auto" w:fill="FFFFFF"/>
        </w:rPr>
        <w:t xml:space="preserve"> ve uluslararası </w:t>
      </w:r>
      <w:r w:rsidR="008F75AE" w:rsidRPr="008F75AE">
        <w:rPr>
          <w:shd w:val="clear" w:color="auto" w:fill="FFFFFF"/>
        </w:rPr>
        <w:t>spor politikalarının gerçekleştirilmesi amacıyla, spor endüstrisi</w:t>
      </w:r>
      <w:r>
        <w:rPr>
          <w:shd w:val="clear" w:color="auto" w:fill="FFFFFF"/>
        </w:rPr>
        <w:t>nde</w:t>
      </w:r>
      <w:r w:rsidR="008F75AE" w:rsidRPr="008F75AE">
        <w:rPr>
          <w:shd w:val="clear" w:color="auto" w:fill="FFFFFF"/>
        </w:rPr>
        <w:t>, ulusal ve uluslararası spor örgütleri</w:t>
      </w:r>
      <w:r>
        <w:rPr>
          <w:shd w:val="clear" w:color="auto" w:fill="FFFFFF"/>
        </w:rPr>
        <w:t>nde</w:t>
      </w:r>
      <w:r w:rsidR="008F75AE" w:rsidRPr="008F75AE">
        <w:rPr>
          <w:shd w:val="clear" w:color="auto" w:fill="FFFFFF"/>
        </w:rPr>
        <w:t>, spor tesisleri</w:t>
      </w:r>
      <w:r>
        <w:rPr>
          <w:shd w:val="clear" w:color="auto" w:fill="FFFFFF"/>
        </w:rPr>
        <w:t>nde</w:t>
      </w:r>
      <w:r w:rsidR="008F75AE" w:rsidRPr="008F75AE">
        <w:rPr>
          <w:shd w:val="clear" w:color="auto" w:fill="FFFFFF"/>
        </w:rPr>
        <w:t>, spor kulüpleri</w:t>
      </w:r>
      <w:r>
        <w:rPr>
          <w:shd w:val="clear" w:color="auto" w:fill="FFFFFF"/>
        </w:rPr>
        <w:t>nde</w:t>
      </w:r>
      <w:r w:rsidR="008F75AE" w:rsidRPr="008F75AE">
        <w:rPr>
          <w:shd w:val="clear" w:color="auto" w:fill="FFFFFF"/>
        </w:rPr>
        <w:t xml:space="preserve">, </w:t>
      </w:r>
      <w:r w:rsidR="008F75AE">
        <w:rPr>
          <w:shd w:val="clear" w:color="auto" w:fill="FFFFFF"/>
        </w:rPr>
        <w:t xml:space="preserve">spor </w:t>
      </w:r>
      <w:r w:rsidR="008F75AE" w:rsidRPr="008F75AE">
        <w:rPr>
          <w:shd w:val="clear" w:color="auto" w:fill="FFFFFF"/>
        </w:rPr>
        <w:t>federasyonlar</w:t>
      </w:r>
      <w:r w:rsidR="008F75AE">
        <w:rPr>
          <w:shd w:val="clear" w:color="auto" w:fill="FFFFFF"/>
        </w:rPr>
        <w:t>ı</w:t>
      </w:r>
      <w:r>
        <w:rPr>
          <w:shd w:val="clear" w:color="auto" w:fill="FFFFFF"/>
        </w:rPr>
        <w:t>nda</w:t>
      </w:r>
      <w:r w:rsidR="008F75AE" w:rsidRPr="008F75AE">
        <w:rPr>
          <w:shd w:val="clear" w:color="auto" w:fill="FFFFFF"/>
        </w:rPr>
        <w:t>, kamu ve özel sektör</w:t>
      </w:r>
      <w:r>
        <w:rPr>
          <w:shd w:val="clear" w:color="auto" w:fill="FFFFFF"/>
        </w:rPr>
        <w:t xml:space="preserve">ün </w:t>
      </w:r>
      <w:r w:rsidR="008F75AE" w:rsidRPr="008F75AE">
        <w:rPr>
          <w:shd w:val="clear" w:color="auto" w:fill="FFFFFF"/>
        </w:rPr>
        <w:t>sporla ilgili kurumlar</w:t>
      </w:r>
      <w:r>
        <w:rPr>
          <w:shd w:val="clear" w:color="auto" w:fill="FFFFFF"/>
        </w:rPr>
        <w:t>ında</w:t>
      </w:r>
      <w:r w:rsidR="008F75AE" w:rsidRPr="008F75AE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ilk ve orta dereceli </w:t>
      </w:r>
      <w:r w:rsidR="008F75AE" w:rsidRPr="008F75AE">
        <w:rPr>
          <w:shd w:val="clear" w:color="auto" w:fill="FFFFFF"/>
        </w:rPr>
        <w:t>okullar</w:t>
      </w:r>
      <w:r>
        <w:rPr>
          <w:shd w:val="clear" w:color="auto" w:fill="FFFFFF"/>
        </w:rPr>
        <w:t>d</w:t>
      </w:r>
      <w:r w:rsidR="008F75AE" w:rsidRPr="008F75AE">
        <w:rPr>
          <w:shd w:val="clear" w:color="auto" w:fill="FFFFFF"/>
        </w:rPr>
        <w:t>a ve</w:t>
      </w:r>
      <w:bookmarkStart w:id="0" w:name="_GoBack"/>
      <w:bookmarkEnd w:id="0"/>
      <w:r w:rsidR="008F75AE" w:rsidRPr="008F75AE">
        <w:rPr>
          <w:shd w:val="clear" w:color="auto" w:fill="FFFFFF"/>
        </w:rPr>
        <w:t xml:space="preserve"> üniversiteler</w:t>
      </w:r>
      <w:r>
        <w:rPr>
          <w:shd w:val="clear" w:color="auto" w:fill="FFFFFF"/>
        </w:rPr>
        <w:t>d</w:t>
      </w:r>
      <w:r w:rsidR="008F75AE" w:rsidRPr="008F75AE">
        <w:rPr>
          <w:shd w:val="clear" w:color="auto" w:fill="FFFFFF"/>
        </w:rPr>
        <w:t>e hizmet verebilecek kalifiye elemanları, güçlü bir akademik kadro ve program vasıtası ile yetiştirmeyi amaç edinmiştir.</w:t>
      </w:r>
      <w:proofErr w:type="gramEnd"/>
    </w:p>
    <w:p w:rsidR="008F75AE" w:rsidRDefault="008F75AE" w:rsidP="004B41A5">
      <w:pPr>
        <w:jc w:val="center"/>
        <w:rPr>
          <w:b/>
        </w:rPr>
      </w:pPr>
    </w:p>
    <w:p w:rsidR="008F75AE" w:rsidRDefault="008F75AE" w:rsidP="004B41A5">
      <w:pPr>
        <w:jc w:val="center"/>
        <w:rPr>
          <w:b/>
        </w:rPr>
      </w:pPr>
    </w:p>
    <w:p w:rsidR="00C50D61" w:rsidRPr="004B41A5" w:rsidRDefault="004B41A5" w:rsidP="004B41A5">
      <w:pPr>
        <w:jc w:val="center"/>
        <w:rPr>
          <w:b/>
        </w:rPr>
      </w:pPr>
      <w:r>
        <w:rPr>
          <w:b/>
        </w:rPr>
        <w:t>SPOR YÖNETİCİLİĞİ PROGRAMI ÖĞRENİM ÇIKTILARI</w:t>
      </w:r>
    </w:p>
    <w:p w:rsidR="00C60E2D" w:rsidRDefault="00C60E2D"/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62"/>
        <w:gridCol w:w="8500"/>
      </w:tblGrid>
      <w:tr w:rsidR="00C60E2D" w:rsidRPr="008F75AE" w:rsidTr="008F75AE">
        <w:tc>
          <w:tcPr>
            <w:tcW w:w="562" w:type="dxa"/>
          </w:tcPr>
          <w:p w:rsidR="00C60E2D" w:rsidRPr="008F75AE" w:rsidRDefault="00C60E2D">
            <w:pPr>
              <w:rPr>
                <w:sz w:val="28"/>
                <w:szCs w:val="28"/>
              </w:rPr>
            </w:pPr>
          </w:p>
        </w:tc>
        <w:tc>
          <w:tcPr>
            <w:tcW w:w="8500" w:type="dxa"/>
          </w:tcPr>
          <w:p w:rsidR="00C60E2D" w:rsidRPr="008F75AE" w:rsidRDefault="00C60E2D">
            <w:pPr>
              <w:rPr>
                <w:sz w:val="28"/>
                <w:szCs w:val="28"/>
              </w:rPr>
            </w:pP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</w:t>
            </w:r>
          </w:p>
        </w:tc>
        <w:tc>
          <w:tcPr>
            <w:tcW w:w="8500" w:type="dxa"/>
          </w:tcPr>
          <w:p w:rsidR="00C60E2D" w:rsidRPr="008F75AE" w:rsidRDefault="00C60E2D" w:rsidP="008F75AE">
            <w:pPr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yönetimi alanındaki bilg</w:t>
            </w:r>
            <w:r w:rsidR="008F75AE">
              <w:rPr>
                <w:sz w:val="28"/>
                <w:szCs w:val="28"/>
              </w:rPr>
              <w:t xml:space="preserve">i ve becerilerini sporla ilgili </w:t>
            </w:r>
            <w:r w:rsidRPr="008F75AE">
              <w:rPr>
                <w:sz w:val="28"/>
                <w:szCs w:val="28"/>
              </w:rPr>
              <w:t>örgütlerin/kurumların ve etkinliklerin yönetimini ilgilendiren konularda uygular.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2</w:t>
            </w:r>
          </w:p>
        </w:tc>
        <w:tc>
          <w:tcPr>
            <w:tcW w:w="8500" w:type="dxa"/>
          </w:tcPr>
          <w:p w:rsidR="00C60E2D" w:rsidRPr="008F75AE" w:rsidRDefault="00C60E2D" w:rsidP="008F75AE">
            <w:pPr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Yönetim ilke ve işlevlerini sporla ilgili örgütlerin/kurumların ve etkinliklerin uygulamalarına yansıtır.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3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yönetimi ile ilgili yasal mevzuatlarda kendine verilen görev ve sorumluluklara değer verir.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4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Ulusal ve uluslararası spor sistemlerinin bileşenlerini ve spor politikalarını analiz eder</w:t>
            </w:r>
            <w:r w:rsidR="008F75AE">
              <w:rPr>
                <w:sz w:val="28"/>
                <w:szCs w:val="28"/>
              </w:rPr>
              <w:t>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5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kurumlarında/etkinliklerinde ekip ve proje üyesi olarak sorumluluk alarak kılavuzluk yapar.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6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yönetimi alanında birlikte çalıştığı insanların mesleki bilgi ve becerilerini geliştirerek performanslarını değerlendirir.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7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 xml:space="preserve">Farklı spor </w:t>
            </w:r>
            <w:proofErr w:type="gramStart"/>
            <w:r w:rsidRPr="008F75AE">
              <w:rPr>
                <w:sz w:val="28"/>
                <w:szCs w:val="28"/>
              </w:rPr>
              <w:t>branşlarına</w:t>
            </w:r>
            <w:proofErr w:type="gramEnd"/>
            <w:r w:rsidRPr="008F75AE">
              <w:rPr>
                <w:sz w:val="28"/>
                <w:szCs w:val="28"/>
              </w:rPr>
              <w:t xml:space="preserve"> yönelik becerileri, oyun kurallarını, teknik ve taktik bilgileri temel ve ileri düzeyde spor dalına özgü antrenman planı ve programlarına uygulama ortamı yaratır.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8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Alanıyla ilgili konularda uygun araştırma yöntemlerini kullanarak proje ve araştırmalar planlar, gerçekleştirir, sonuçları açık ve anlaşılır bir şekilde sunar.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9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yönetimi alanında ulusal ve uluslararası gelişmeleri mesleki yabancı dil bilgisini kullanarak çok yönlü değerlendirir.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10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yönetimi alanı ile ilgili sağlık, güvenlik ve risk unsurlarını düzenli şekilde değerlendirir.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11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Alanı ile ilgili işleri gerçekleştirirken insan sağlığı ile sosyal ve doğal çevreyi dikkate alır.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12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Görev aldığı birimde liderlik özelliğini kullanarak çalışanları kişilik, kültür ve davranışsal özellikleri doğrultusunda yönlendirir.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13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Mesleki bilgi ve becerilerini sürekli olarak geliştirerek değişime, yeniliğe ve girişimciliğe değer verir.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 xml:space="preserve">Spor kurumlarını ilgilendiren konularda (pazarlama, sosyal medya, </w:t>
            </w:r>
            <w:proofErr w:type="gramStart"/>
            <w:r w:rsidRPr="008F75AE">
              <w:rPr>
                <w:sz w:val="28"/>
                <w:szCs w:val="28"/>
              </w:rPr>
              <w:t>sponsorluk</w:t>
            </w:r>
            <w:proofErr w:type="gramEnd"/>
            <w:r w:rsidRPr="008F75AE">
              <w:rPr>
                <w:sz w:val="28"/>
                <w:szCs w:val="28"/>
              </w:rPr>
              <w:t xml:space="preserve"> gibi) örgütü daha verimli hale getirecek uygulamalar gerçekleştirir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15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 xml:space="preserve">İnsan organizmasının yapısı, görevleri ve gelişimi konularından hareketle bireylerin yaşam boyu spor alışkanlığı kazanmalarına öncülük eder.  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16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Sportif etkinliklerin ve müsabakaların düzenlenmesinde iyi bir uygulayıcıdır.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17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yönetimi alanının ilişkili olduğu disiplinlerle (sosyal bilimler, yönetim bilimi, çevre bilimleri vb.) etkileşim konusunda bilgi sahibidir.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18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Engelli bireylerin spora yönlendirilmesindeki bilgilerini oluşan yeni durumlara uydurma becerisine sahiptir.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19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yönetimi alanında olgu, olay ve sorunlarla ilgili farklı bilgi kaynaklarına (kişi, kitap, veri tabanı, internet vb.) ulaşma becerisine sahiptir.</w:t>
            </w:r>
          </w:p>
        </w:tc>
      </w:tr>
      <w:tr w:rsidR="00C60E2D" w:rsidRPr="008F75AE" w:rsidTr="008F75AE">
        <w:tc>
          <w:tcPr>
            <w:tcW w:w="562" w:type="dxa"/>
          </w:tcPr>
          <w:p w:rsidR="00C60E2D" w:rsidRPr="008F75AE" w:rsidRDefault="00C60E2D" w:rsidP="00C60E2D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20</w:t>
            </w:r>
          </w:p>
        </w:tc>
        <w:tc>
          <w:tcPr>
            <w:tcW w:w="8500" w:type="dxa"/>
            <w:vAlign w:val="center"/>
          </w:tcPr>
          <w:p w:rsidR="00C60E2D" w:rsidRPr="008F75AE" w:rsidRDefault="00C60E2D" w:rsidP="00C60E2D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kurumları ve organizasyonlarında bireylerin ve katılımcıların esenliği, güvenliği, özel hayatın gizliliği gibi konuları analiz eder.</w:t>
            </w:r>
          </w:p>
        </w:tc>
      </w:tr>
      <w:tr w:rsidR="004B41A5" w:rsidRPr="008F75AE" w:rsidTr="008F75AE">
        <w:tc>
          <w:tcPr>
            <w:tcW w:w="562" w:type="dxa"/>
          </w:tcPr>
          <w:p w:rsidR="004B41A5" w:rsidRPr="008F75AE" w:rsidRDefault="004B41A5" w:rsidP="004B41A5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21</w:t>
            </w:r>
          </w:p>
        </w:tc>
        <w:tc>
          <w:tcPr>
            <w:tcW w:w="8500" w:type="dxa"/>
            <w:vAlign w:val="center"/>
          </w:tcPr>
          <w:p w:rsidR="004B41A5" w:rsidRPr="008F75AE" w:rsidRDefault="004B41A5" w:rsidP="004B41A5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Olumlu ve destekleyici bir çalışma ortamı oluşması için bireysel farklılık,  güven, eşitlik gibi konulara hassasiyet gösterir.</w:t>
            </w:r>
          </w:p>
        </w:tc>
      </w:tr>
      <w:tr w:rsidR="004B41A5" w:rsidRPr="008F75AE" w:rsidTr="008F75AE">
        <w:tc>
          <w:tcPr>
            <w:tcW w:w="562" w:type="dxa"/>
          </w:tcPr>
          <w:p w:rsidR="004B41A5" w:rsidRPr="008F75AE" w:rsidRDefault="004B41A5" w:rsidP="004B41A5">
            <w:pPr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22</w:t>
            </w:r>
          </w:p>
        </w:tc>
        <w:tc>
          <w:tcPr>
            <w:tcW w:w="8500" w:type="dxa"/>
            <w:vAlign w:val="center"/>
          </w:tcPr>
          <w:p w:rsidR="004B41A5" w:rsidRPr="008F75AE" w:rsidRDefault="004B41A5" w:rsidP="004B41A5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8F75AE">
              <w:rPr>
                <w:sz w:val="28"/>
                <w:szCs w:val="28"/>
              </w:rPr>
              <w:t>Spor kültürü ve estetik konularına ilişkin bilgilerini uygulayacak ortamlar yaratır.</w:t>
            </w:r>
          </w:p>
        </w:tc>
      </w:tr>
    </w:tbl>
    <w:p w:rsidR="00C60E2D" w:rsidRDefault="00C60E2D"/>
    <w:sectPr w:rsidR="00C60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272"/>
    <w:rsid w:val="003259FD"/>
    <w:rsid w:val="004B41A5"/>
    <w:rsid w:val="008F75AE"/>
    <w:rsid w:val="00A45A06"/>
    <w:rsid w:val="00C60E2D"/>
    <w:rsid w:val="00D92272"/>
    <w:rsid w:val="00F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561F5-C827-4FCD-8B8A-9A165DFD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6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pc</cp:lastModifiedBy>
  <cp:revision>4</cp:revision>
  <dcterms:created xsi:type="dcterms:W3CDTF">2021-03-12T14:58:00Z</dcterms:created>
  <dcterms:modified xsi:type="dcterms:W3CDTF">2021-03-13T12:12:00Z</dcterms:modified>
</cp:coreProperties>
</file>